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54" w:rsidRPr="00EA2748" w:rsidRDefault="00562654" w:rsidP="00562654">
      <w:pPr>
        <w:spacing w:beforeLines="50" w:before="156" w:afterLines="150" w:after="468" w:line="700" w:lineRule="exact"/>
        <w:jc w:val="center"/>
        <w:rPr>
          <w:rFonts w:ascii="小标宋" w:eastAsia="小标宋"/>
          <w:sz w:val="44"/>
          <w:szCs w:val="44"/>
        </w:rPr>
      </w:pPr>
      <w:r w:rsidRPr="00EA2748">
        <w:rPr>
          <w:rFonts w:ascii="小标宋" w:eastAsia="小标宋" w:cs="小标宋"/>
          <w:sz w:val="44"/>
          <w:szCs w:val="44"/>
        </w:rPr>
        <w:t>201</w:t>
      </w:r>
      <w:r w:rsidRPr="00EA2748">
        <w:rPr>
          <w:rFonts w:ascii="小标宋" w:eastAsia="小标宋" w:cs="小标宋" w:hint="eastAsia"/>
          <w:sz w:val="44"/>
          <w:szCs w:val="44"/>
        </w:rPr>
        <w:t>3年青少年高校科学营实施方案</w:t>
      </w:r>
    </w:p>
    <w:p w:rsidR="00562654" w:rsidRPr="00EA2748" w:rsidRDefault="00562654" w:rsidP="00562654">
      <w:pPr>
        <w:spacing w:line="600" w:lineRule="exact"/>
        <w:ind w:firstLineChars="200" w:firstLine="640"/>
        <w:rPr>
          <w:rFonts w:ascii="黑体" w:eastAsia="黑体" w:hint="eastAsia"/>
          <w:sz w:val="32"/>
          <w:szCs w:val="32"/>
        </w:rPr>
      </w:pPr>
      <w:r w:rsidRPr="00EA2748">
        <w:rPr>
          <w:rFonts w:ascii="黑体" w:eastAsia="黑体" w:hint="eastAsia"/>
          <w:sz w:val="32"/>
          <w:szCs w:val="32"/>
        </w:rPr>
        <w:t>一、目的和意义</w:t>
      </w:r>
    </w:p>
    <w:p w:rsidR="00562654" w:rsidRPr="00EA2748" w:rsidRDefault="00562654" w:rsidP="00562654">
      <w:pPr>
        <w:spacing w:line="600" w:lineRule="exact"/>
        <w:ind w:firstLineChars="200" w:firstLine="640"/>
        <w:rPr>
          <w:rFonts w:ascii="仿宋_GB2312" w:eastAsia="仿宋_GB2312" w:hint="eastAsia"/>
          <w:color w:val="000000"/>
          <w:sz w:val="32"/>
          <w:szCs w:val="32"/>
        </w:rPr>
      </w:pPr>
      <w:r w:rsidRPr="00EA2748">
        <w:rPr>
          <w:rFonts w:ascii="仿宋_GB2312" w:eastAsia="仿宋_GB2312" w:hint="eastAsia"/>
          <w:sz w:val="32"/>
          <w:szCs w:val="32"/>
        </w:rPr>
        <w:t>为贯彻落实</w:t>
      </w:r>
      <w:r w:rsidRPr="00EA2748">
        <w:rPr>
          <w:rFonts w:ascii="仿宋_GB2312" w:eastAsia="仿宋_GB2312"/>
          <w:sz w:val="32"/>
          <w:szCs w:val="32"/>
        </w:rPr>
        <w:t>《全民科学素质行动计划纲要（2006</w:t>
      </w:r>
      <w:r w:rsidRPr="00EA2748">
        <w:rPr>
          <w:rFonts w:ascii="仿宋_GB2312" w:eastAsia="仿宋_GB2312"/>
          <w:sz w:val="32"/>
          <w:szCs w:val="32"/>
        </w:rPr>
        <w:t>—</w:t>
      </w:r>
      <w:r w:rsidRPr="00EA2748">
        <w:rPr>
          <w:rFonts w:ascii="仿宋_GB2312" w:eastAsia="仿宋_GB2312"/>
          <w:sz w:val="32"/>
          <w:szCs w:val="32"/>
        </w:rPr>
        <w:t>2010</w:t>
      </w:r>
      <w:r w:rsidRPr="00EA2748">
        <w:rPr>
          <w:rFonts w:ascii="仿宋_GB2312" w:eastAsia="仿宋_GB2312"/>
          <w:sz w:val="32"/>
          <w:szCs w:val="32"/>
        </w:rPr>
        <w:t>—</w:t>
      </w:r>
      <w:r w:rsidRPr="00EA2748">
        <w:rPr>
          <w:rFonts w:ascii="仿宋_GB2312" w:eastAsia="仿宋_GB2312"/>
          <w:sz w:val="32"/>
          <w:szCs w:val="32"/>
        </w:rPr>
        <w:t>2020年）》</w:t>
      </w:r>
      <w:r w:rsidRPr="00EA2748">
        <w:rPr>
          <w:rFonts w:ascii="仿宋_GB2312" w:eastAsia="仿宋_GB2312" w:hint="eastAsia"/>
          <w:sz w:val="32"/>
          <w:szCs w:val="32"/>
        </w:rPr>
        <w:t>，发挥高校在传播科学知识、科学思想、科学方法和提高青少年科学素质方面的功能，激发青少年对科学的兴趣，引导青少年崇尚科学，鼓励青少年立志从事科学研究事业，培养青少年的科学精神、创新意识和实践能力，为培养科技创新后备人才打下坚实基础。</w:t>
      </w:r>
    </w:p>
    <w:p w:rsidR="00562654" w:rsidRPr="00EA2748" w:rsidRDefault="00562654" w:rsidP="00562654">
      <w:pPr>
        <w:spacing w:line="600" w:lineRule="exact"/>
        <w:ind w:firstLineChars="200" w:firstLine="640"/>
        <w:rPr>
          <w:rFonts w:ascii="黑体" w:eastAsia="黑体" w:hint="eastAsia"/>
          <w:sz w:val="32"/>
          <w:szCs w:val="32"/>
        </w:rPr>
      </w:pPr>
      <w:r w:rsidRPr="00EA2748">
        <w:rPr>
          <w:rFonts w:ascii="黑体" w:eastAsia="黑体" w:hint="eastAsia"/>
          <w:sz w:val="32"/>
          <w:szCs w:val="32"/>
        </w:rPr>
        <w:t>二、活动规模</w:t>
      </w:r>
    </w:p>
    <w:p w:rsidR="00562654" w:rsidRPr="00EA2748" w:rsidRDefault="00562654" w:rsidP="00562654">
      <w:pPr>
        <w:spacing w:line="600" w:lineRule="exact"/>
        <w:ind w:firstLineChars="200" w:firstLine="640"/>
        <w:rPr>
          <w:rFonts w:ascii="楷体_GB2312" w:eastAsia="楷体_GB2312" w:hAnsi="宋体" w:cs="仿宋_GB2312" w:hint="eastAsia"/>
          <w:sz w:val="32"/>
          <w:szCs w:val="32"/>
        </w:rPr>
      </w:pPr>
      <w:r w:rsidRPr="00EA2748">
        <w:rPr>
          <w:rFonts w:ascii="楷体_GB2312" w:eastAsia="楷体_GB2312" w:hAnsi="宋体" w:cs="仿宋_GB2312" w:hint="eastAsia"/>
          <w:sz w:val="32"/>
          <w:szCs w:val="32"/>
        </w:rPr>
        <w:t>（一）承办高校</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在2012年41所承办高校的基础上再增加7所，分别是北京化工大学、武汉理工大学、南京航空航天大学、南京理工大学、哈尔滨工程大学、大连海事大学、国防科技大学。</w:t>
      </w:r>
    </w:p>
    <w:p w:rsidR="00562654" w:rsidRPr="00EA2748" w:rsidRDefault="00562654" w:rsidP="00562654">
      <w:pPr>
        <w:spacing w:line="600" w:lineRule="exact"/>
        <w:ind w:firstLineChars="200" w:firstLine="640"/>
        <w:rPr>
          <w:rFonts w:ascii="楷体_GB2312" w:eastAsia="楷体_GB2312" w:hAnsi="宋体" w:cs="仿宋_GB2312" w:hint="eastAsia"/>
          <w:sz w:val="32"/>
          <w:szCs w:val="32"/>
        </w:rPr>
      </w:pPr>
      <w:r w:rsidRPr="00EA2748">
        <w:rPr>
          <w:rFonts w:ascii="楷体_GB2312" w:eastAsia="楷体_GB2312" w:hAnsi="宋体" w:cs="仿宋_GB2312" w:hint="eastAsia"/>
          <w:sz w:val="32"/>
          <w:szCs w:val="32"/>
        </w:rPr>
        <w:t>（二）专题营承办单位</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为鼓励青少年从小立志科技强国、实业报国，2013年开展专题营试点。分别邀请中国航天科技集团、中国航空工业集团、中国兵器工业集团、中国船舶工业集团和国家天文台作为活动承办单位与有关高校共同举办五个专题营。</w:t>
      </w:r>
    </w:p>
    <w:p w:rsidR="00562654" w:rsidRPr="00EA2748" w:rsidRDefault="00562654" w:rsidP="00562654">
      <w:pPr>
        <w:spacing w:line="600" w:lineRule="exact"/>
        <w:ind w:firstLineChars="200" w:firstLine="640"/>
        <w:rPr>
          <w:rFonts w:ascii="楷体_GB2312" w:eastAsia="楷体_GB2312" w:hAnsi="宋体" w:cs="仿宋_GB2312" w:hint="eastAsia"/>
          <w:sz w:val="32"/>
          <w:szCs w:val="32"/>
        </w:rPr>
      </w:pPr>
      <w:r>
        <w:rPr>
          <w:rFonts w:ascii="楷体_GB2312" w:eastAsia="楷体_GB2312" w:hAnsi="宋体" w:cs="仿宋_GB2312"/>
          <w:sz w:val="32"/>
          <w:szCs w:val="32"/>
        </w:rPr>
        <w:br w:type="page"/>
      </w:r>
      <w:r w:rsidRPr="00EA2748">
        <w:rPr>
          <w:rFonts w:ascii="楷体_GB2312" w:eastAsia="楷体_GB2312" w:hAnsi="宋体" w:cs="仿宋_GB2312" w:hint="eastAsia"/>
          <w:sz w:val="32"/>
          <w:szCs w:val="32"/>
        </w:rPr>
        <w:lastRenderedPageBreak/>
        <w:t>（三）营员数量</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2013年计划招募营员11495人。其中内地学生10000人，香港学生1000人，澳门学生300人，台湾学生195人。除台湾地区按</w:t>
      </w:r>
      <w:r>
        <w:rPr>
          <w:rFonts w:ascii="仿宋_GB2312" w:eastAsia="仿宋_GB2312" w:hAnsi="宋体" w:cs="仿宋_GB2312" w:hint="eastAsia"/>
          <w:sz w:val="32"/>
          <w:szCs w:val="32"/>
        </w:rPr>
        <w:t>一个高校配一名带队教师</w:t>
      </w:r>
      <w:r w:rsidRPr="00EA2748">
        <w:rPr>
          <w:rFonts w:ascii="仿宋_GB2312" w:eastAsia="仿宋_GB2312" w:hAnsi="宋体" w:cs="仿宋_GB2312" w:hint="eastAsia"/>
          <w:sz w:val="32"/>
          <w:szCs w:val="32"/>
        </w:rPr>
        <w:t>外，其他地区均按10:1的比例配备带队教师。</w:t>
      </w:r>
    </w:p>
    <w:p w:rsidR="00562654" w:rsidRPr="00EA2748" w:rsidRDefault="00562654" w:rsidP="00562654">
      <w:pPr>
        <w:spacing w:line="600" w:lineRule="exact"/>
        <w:ind w:firstLineChars="200" w:firstLine="640"/>
        <w:rPr>
          <w:rFonts w:ascii="黑体" w:eastAsia="黑体" w:hint="eastAsia"/>
          <w:sz w:val="32"/>
          <w:szCs w:val="32"/>
        </w:rPr>
      </w:pPr>
      <w:r w:rsidRPr="00EA2748">
        <w:rPr>
          <w:rFonts w:ascii="黑体" w:eastAsia="黑体" w:hint="eastAsia"/>
          <w:sz w:val="32"/>
          <w:szCs w:val="32"/>
        </w:rPr>
        <w:t>三、活动组织</w:t>
      </w:r>
    </w:p>
    <w:p w:rsidR="00562654" w:rsidRPr="00EA2748" w:rsidRDefault="00562654" w:rsidP="00562654">
      <w:pPr>
        <w:spacing w:line="600" w:lineRule="exact"/>
        <w:ind w:firstLineChars="200" w:firstLine="640"/>
        <w:rPr>
          <w:rFonts w:ascii="楷体_GB2312" w:eastAsia="楷体_GB2312" w:hAnsi="宋体" w:cs="仿宋_GB2312" w:hint="eastAsia"/>
          <w:sz w:val="32"/>
          <w:szCs w:val="32"/>
        </w:rPr>
      </w:pPr>
      <w:r w:rsidRPr="00EA2748">
        <w:rPr>
          <w:rFonts w:ascii="楷体_GB2312" w:eastAsia="楷体_GB2312" w:hAnsi="宋体" w:cs="仿宋_GB2312" w:hint="eastAsia"/>
          <w:sz w:val="32"/>
          <w:szCs w:val="32"/>
        </w:rPr>
        <w:t>（一）常规分营组织</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常规分营活动应充分体现承办高校的学科特点、专业特色和人文传统。通过组织学生与名家大师对话交流、参观重点实验室及科研场所、参加科技社团活动、体验校园生活等方式，帮助学生了解前沿科技新知，品味大师成长历程，感悟科学精神道德，立志勇攀科技高峰。不组织与高考升学辅导有关的活动。具体活动内容由承办高校自行设计和组织安排。全国管理办公室将征集优秀特色活动案例进行宣传推广。</w:t>
      </w:r>
    </w:p>
    <w:p w:rsidR="00562654" w:rsidRPr="00EA2748" w:rsidRDefault="00562654" w:rsidP="00562654">
      <w:pPr>
        <w:spacing w:line="600" w:lineRule="exact"/>
        <w:ind w:firstLineChars="200" w:firstLine="640"/>
        <w:rPr>
          <w:rFonts w:ascii="楷体_GB2312" w:eastAsia="楷体_GB2312" w:hAnsi="宋体" w:cs="仿宋_GB2312" w:hint="eastAsia"/>
          <w:sz w:val="32"/>
          <w:szCs w:val="32"/>
        </w:rPr>
      </w:pPr>
      <w:r w:rsidRPr="00EA2748">
        <w:rPr>
          <w:rFonts w:ascii="楷体_GB2312" w:eastAsia="楷体_GB2312" w:hAnsi="宋体" w:cs="仿宋_GB2312" w:hint="eastAsia"/>
          <w:sz w:val="32"/>
          <w:szCs w:val="32"/>
        </w:rPr>
        <w:t>（二）专题营组织</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专题营活动应充分体现行业特点及企业（科研单位）特色。营员吃住在高校，活动在企业（科研单位）。通过参观企业（科研单位）的科普场馆、与院士专家或优秀科技工作者交流座谈、参观生产流程、科研设施、参加互动性、体验性科学教育项目等活动，帮助学生了解企业（科研单位）发展历程及其在国家经济发展和国防建设中的重大作用，感受科技魅力，体验创新文化，从小树立科技强国、实业报国的远大志向。</w:t>
      </w:r>
    </w:p>
    <w:p w:rsidR="00562654" w:rsidRPr="00EA2748" w:rsidRDefault="00562654" w:rsidP="00562654">
      <w:pPr>
        <w:spacing w:line="600" w:lineRule="exact"/>
        <w:ind w:firstLineChars="200" w:firstLine="640"/>
        <w:rPr>
          <w:rFonts w:ascii="楷体_GB2312" w:eastAsia="楷体_GB2312" w:hAnsi="宋体" w:cs="仿宋_GB2312" w:hint="eastAsia"/>
          <w:sz w:val="32"/>
          <w:szCs w:val="32"/>
        </w:rPr>
      </w:pPr>
      <w:r w:rsidRPr="00EA2748">
        <w:rPr>
          <w:rFonts w:ascii="楷体_GB2312" w:eastAsia="楷体_GB2312" w:hAnsi="宋体" w:cs="仿宋_GB2312" w:hint="eastAsia"/>
          <w:sz w:val="32"/>
          <w:szCs w:val="32"/>
        </w:rPr>
        <w:lastRenderedPageBreak/>
        <w:t>（三）活动时间及其他</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1</w:t>
      </w:r>
      <w:r>
        <w:rPr>
          <w:rFonts w:ascii="仿宋_GB2312" w:eastAsia="仿宋_GB2312" w:hAnsi="宋体" w:cs="仿宋_GB2312" w:hint="eastAsia"/>
          <w:sz w:val="32"/>
          <w:szCs w:val="32"/>
        </w:rPr>
        <w:t>．</w:t>
      </w:r>
      <w:r w:rsidRPr="00EA2748">
        <w:rPr>
          <w:rFonts w:ascii="仿宋_GB2312" w:eastAsia="仿宋_GB2312" w:hAnsi="宋体" w:cs="仿宋_GB2312" w:hint="eastAsia"/>
          <w:sz w:val="32"/>
          <w:szCs w:val="32"/>
        </w:rPr>
        <w:t>2013年高校科学营活动统一安排在7-8月份。具体开（闭）营时间由高校自主安排，同一地区的承办高校可以协商统一的开（闭）营时间。（各高校具体名额分配见附件1）</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2</w:t>
      </w:r>
      <w:r>
        <w:rPr>
          <w:rFonts w:ascii="仿宋_GB2312" w:eastAsia="仿宋_GB2312" w:hAnsi="宋体" w:cs="仿宋_GB2312" w:hint="eastAsia"/>
          <w:sz w:val="32"/>
          <w:szCs w:val="32"/>
        </w:rPr>
        <w:t>．</w:t>
      </w:r>
      <w:r w:rsidRPr="00EA2748">
        <w:rPr>
          <w:rFonts w:ascii="仿宋_GB2312" w:eastAsia="仿宋_GB2312" w:hAnsi="宋体" w:cs="仿宋_GB2312" w:hint="eastAsia"/>
          <w:sz w:val="32"/>
          <w:szCs w:val="32"/>
        </w:rPr>
        <w:t>港澳台学生和内地学生混合编组，共同活动。接受港澳台学生的高校由港澳台承办机构提出。</w:t>
      </w:r>
    </w:p>
    <w:p w:rsidR="00562654" w:rsidRPr="00EA2748" w:rsidRDefault="00562654" w:rsidP="00562654">
      <w:pPr>
        <w:spacing w:line="600" w:lineRule="exact"/>
        <w:ind w:left="640"/>
        <w:rPr>
          <w:rFonts w:ascii="黑体" w:eastAsia="黑体" w:hint="eastAsia"/>
          <w:sz w:val="32"/>
          <w:szCs w:val="32"/>
        </w:rPr>
      </w:pPr>
      <w:r>
        <w:rPr>
          <w:rFonts w:ascii="黑体" w:eastAsia="黑体" w:cs="黑体" w:hint="eastAsia"/>
          <w:sz w:val="32"/>
          <w:szCs w:val="32"/>
        </w:rPr>
        <w:t>四、</w:t>
      </w:r>
      <w:r w:rsidRPr="00EA2748">
        <w:rPr>
          <w:rFonts w:ascii="黑体" w:eastAsia="黑体" w:cs="黑体" w:hint="eastAsia"/>
          <w:sz w:val="32"/>
          <w:szCs w:val="32"/>
        </w:rPr>
        <w:t>营员选拔与组织</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（一）营员招募名额由主办单位根据年度经费预算以及各地、各高校实际情况核定后下达。（各地区营员招募名额分配见附件2）</w:t>
      </w:r>
    </w:p>
    <w:p w:rsidR="00562654" w:rsidRPr="00EA2748" w:rsidRDefault="00562654" w:rsidP="00562654">
      <w:pPr>
        <w:topLinePunct/>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（二）营员招募工作继续由省级管理办公室负责。各省要精心选拔品学兼优、学有余力、热爱科学、有科技特长的普通高中学生参加科学营活动。营员名额可适当向老少边穷地区、农村地区倾斜。</w:t>
      </w:r>
    </w:p>
    <w:p w:rsidR="00562654" w:rsidRPr="00EA2748" w:rsidRDefault="00562654" w:rsidP="00562654">
      <w:pPr>
        <w:topLinePunct/>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三）省级管理办公室要加强对所招募营员的教育和管理，要指派专人开展营前集结与安全教育、营中监督与协助管理、营后总结与评估。全国管理办公室将对各省营员招募、活动组织管理工作中的经验做法进行宣传推广。</w:t>
      </w:r>
    </w:p>
    <w:p w:rsidR="00562654" w:rsidRPr="00EA2748" w:rsidRDefault="00562654" w:rsidP="00562654">
      <w:pPr>
        <w:topLinePunct/>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（四）港澳台营员招募、集结、培训、总结等工作由相关承办机构负责。营员活动管理由接受高校和相关承办机构共同负责。</w:t>
      </w:r>
    </w:p>
    <w:p w:rsidR="00562654" w:rsidRPr="00EA2748" w:rsidRDefault="00562654" w:rsidP="00562654">
      <w:pPr>
        <w:spacing w:line="600" w:lineRule="exact"/>
        <w:ind w:firstLineChars="200" w:firstLine="640"/>
        <w:rPr>
          <w:rFonts w:ascii="黑体" w:eastAsia="黑体" w:hint="eastAsia"/>
          <w:sz w:val="32"/>
          <w:szCs w:val="32"/>
        </w:rPr>
      </w:pPr>
      <w:r w:rsidRPr="00EA2748">
        <w:rPr>
          <w:rFonts w:ascii="黑体" w:eastAsia="黑体" w:hint="eastAsia"/>
          <w:sz w:val="32"/>
          <w:szCs w:val="32"/>
        </w:rPr>
        <w:t>五、组织实施</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2013年高校科学营活动继续由中国科协、教育部共同主</w:t>
      </w:r>
      <w:r w:rsidRPr="00EA2748">
        <w:rPr>
          <w:rFonts w:ascii="仿宋_GB2312" w:eastAsia="仿宋_GB2312" w:hAnsi="宋体" w:cs="仿宋_GB2312" w:hint="eastAsia"/>
          <w:sz w:val="32"/>
          <w:szCs w:val="32"/>
        </w:rPr>
        <w:lastRenderedPageBreak/>
        <w:t>办。中国科学院为支持单位。各省级科协、教育厅（教委）、有关高校、中央企业、科研机构具体承办。继续按照2012年确定的全国和省级活动管理办公室二级管理模式对活动进行管理。</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全国管理办公室设在中国科协，日常工作由中国科协青少年科技中心负责。</w:t>
      </w:r>
    </w:p>
    <w:p w:rsidR="00562654" w:rsidRPr="00EA2748" w:rsidRDefault="00562654" w:rsidP="00562654">
      <w:pPr>
        <w:spacing w:line="600" w:lineRule="exact"/>
        <w:ind w:firstLineChars="200" w:firstLine="640"/>
        <w:rPr>
          <w:rFonts w:ascii="黑体" w:eastAsia="黑体" w:hint="eastAsia"/>
          <w:sz w:val="32"/>
          <w:szCs w:val="32"/>
        </w:rPr>
      </w:pPr>
      <w:r w:rsidRPr="00EA2748">
        <w:rPr>
          <w:rFonts w:ascii="黑体" w:eastAsia="黑体" w:hint="eastAsia"/>
          <w:sz w:val="32"/>
          <w:szCs w:val="32"/>
        </w:rPr>
        <w:t>六、活动宣传</w:t>
      </w:r>
    </w:p>
    <w:p w:rsidR="00562654" w:rsidRPr="00EA2748" w:rsidRDefault="00562654" w:rsidP="00562654">
      <w:pPr>
        <w:spacing w:line="600" w:lineRule="exact"/>
        <w:ind w:firstLineChars="200" w:firstLine="640"/>
        <w:rPr>
          <w:rFonts w:ascii="仿宋_GB2312" w:eastAsia="仿宋_GB2312" w:hAnsi="宋体" w:cs="仿宋_GB2312"/>
          <w:sz w:val="32"/>
          <w:szCs w:val="32"/>
        </w:rPr>
      </w:pPr>
      <w:r w:rsidRPr="00EA2748">
        <w:rPr>
          <w:rFonts w:ascii="仿宋_GB2312" w:eastAsia="仿宋_GB2312" w:hAnsi="宋体" w:cs="仿宋_GB2312" w:hint="eastAsia"/>
          <w:sz w:val="32"/>
          <w:szCs w:val="32"/>
        </w:rPr>
        <w:t>高校科学营整体宣传工作由中国科协调研宣传部负责。各省级管理办公室要做好对本地科学营活动的宣传报道。要充分运用报刊、广播、电视、网络等媒体对活动的各个阶段（活动前期、启动仪式、活动期间、总结表彰等）进行宣传报道。要做好宣传工作方案，做好宣传工作总结。各承办高校可结合实际，制作相关宣传品。</w:t>
      </w:r>
    </w:p>
    <w:p w:rsidR="00562654" w:rsidRPr="00EA2748" w:rsidRDefault="00562654" w:rsidP="00562654">
      <w:pPr>
        <w:spacing w:line="600" w:lineRule="exact"/>
        <w:ind w:firstLineChars="200" w:firstLine="640"/>
        <w:rPr>
          <w:rFonts w:ascii="黑体" w:eastAsia="黑体" w:hint="eastAsia"/>
          <w:sz w:val="32"/>
          <w:szCs w:val="32"/>
        </w:rPr>
      </w:pPr>
      <w:r w:rsidRPr="00EA2748">
        <w:rPr>
          <w:rFonts w:ascii="黑体" w:eastAsia="黑体" w:hint="eastAsia"/>
          <w:sz w:val="32"/>
          <w:szCs w:val="32"/>
        </w:rPr>
        <w:t>七、实施步骤和工作进度</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（一）2013年1-3月，中国科协、教育部和相关单位共同协商确定年度工作方案，确定承办高校、企业、科研机构和招募营员数量。</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（二）4月，中国科协、教育部联合下发《2013年高校科学营实施方案》，正式启动科学营筹备工作。</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（三）4-5月，各省级办公室制定营员招募及组织工作方案，协调承办高校制定各分营活动方案；专题营承办单位制定各专题营工作方案，报全国管理办公室审查备案。港澳台承办机构开展营员招募工作。</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lastRenderedPageBreak/>
        <w:t>（四）6月，各省级办公室开展营员招募及组织培训，各承办高校和专题营承办单位开展筹备工作，深化活动设计，制定安全保障措施。</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（五）7月，全国启动暨北京开营式在清华大学举办，邀请党和国家领导人出席，主办单位及支持单位主要领导参加。</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（六）7-8月，各地陆续开营。全国管理办公室检查指导。</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（七）9-11月，各省级办公室、专题营承办单位和港澳台承办机构向全国管理办公室提交年度工作总结。</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（八）12月，全国管理办公室发布年度工作总结。</w:t>
      </w:r>
    </w:p>
    <w:p w:rsidR="00562654" w:rsidRPr="00EA2748" w:rsidRDefault="00562654" w:rsidP="00562654">
      <w:pPr>
        <w:spacing w:line="600" w:lineRule="exact"/>
        <w:ind w:firstLineChars="200" w:firstLine="640"/>
        <w:rPr>
          <w:rFonts w:ascii="黑体" w:eastAsia="黑体" w:cs="黑体"/>
          <w:sz w:val="32"/>
          <w:szCs w:val="32"/>
        </w:rPr>
      </w:pPr>
      <w:r w:rsidRPr="00EA2748">
        <w:rPr>
          <w:rFonts w:ascii="黑体" w:eastAsia="黑体" w:cs="黑体" w:hint="eastAsia"/>
          <w:sz w:val="32"/>
          <w:szCs w:val="32"/>
        </w:rPr>
        <w:t>八、有关要求</w:t>
      </w:r>
    </w:p>
    <w:p w:rsidR="00562654" w:rsidRPr="00EA2748" w:rsidRDefault="00562654" w:rsidP="00562654">
      <w:pPr>
        <w:spacing w:line="600" w:lineRule="exact"/>
        <w:ind w:firstLineChars="200" w:firstLine="640"/>
        <w:rPr>
          <w:rFonts w:ascii="仿宋_GB2312" w:eastAsia="仿宋_GB2312" w:hAnsi="宋体" w:cs="仿宋_GB2312"/>
          <w:sz w:val="32"/>
          <w:szCs w:val="32"/>
        </w:rPr>
      </w:pPr>
      <w:r w:rsidRPr="00EA2748">
        <w:rPr>
          <w:rFonts w:ascii="仿宋_GB2312" w:eastAsia="仿宋_GB2312" w:hAnsi="宋体" w:cs="仿宋_GB2312" w:hint="eastAsia"/>
          <w:sz w:val="32"/>
          <w:szCs w:val="32"/>
        </w:rPr>
        <w:t>（一）省级科协、教育厅（教委）、港澳台承办机构和有关高校、承办单位，要高度重视高校科学营活动，安排专人负责，充分沟通，加强协调，确保安全。</w:t>
      </w: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 xml:space="preserve">（二）省级管理办公室要做好协调服务和日常沟通工作，及时报送工作信息和进展情况。按要求将本省总体活动方案和营员招募及培训方案报全国管理办公室审核，签订任务书。活动期间及时报送活动简报、营员心得、活动照片等素材。活动结束后，要及时汇总本地区各高校试点活动开展情况，总结工作经验，报送活动总结。     </w:t>
      </w:r>
    </w:p>
    <w:p w:rsidR="00562654" w:rsidRPr="00EA2748" w:rsidRDefault="00562654" w:rsidP="00562654">
      <w:pPr>
        <w:spacing w:line="600" w:lineRule="exact"/>
        <w:ind w:firstLineChars="200" w:firstLine="640"/>
        <w:rPr>
          <w:rFonts w:ascii="仿宋_GB2312" w:eastAsia="仿宋_GB2312" w:hAnsi="宋体" w:cs="仿宋_GB2312"/>
          <w:sz w:val="32"/>
          <w:szCs w:val="32"/>
        </w:rPr>
      </w:pPr>
      <w:r w:rsidRPr="00EA2748">
        <w:rPr>
          <w:rFonts w:ascii="仿宋_GB2312" w:eastAsia="仿宋_GB2312" w:hAnsi="宋体" w:cs="仿宋_GB2312" w:hint="eastAsia"/>
          <w:sz w:val="32"/>
          <w:szCs w:val="32"/>
        </w:rPr>
        <w:t>（三）各省级管理办公室和各高校要做好经费的管理和使用工作，严格按预算开支，专款专用。</w:t>
      </w:r>
    </w:p>
    <w:p w:rsidR="00562654" w:rsidRPr="00EA2748" w:rsidRDefault="00562654" w:rsidP="00562654">
      <w:pPr>
        <w:spacing w:line="600" w:lineRule="exact"/>
        <w:ind w:firstLineChars="200" w:firstLine="640"/>
        <w:rPr>
          <w:rFonts w:ascii="仿宋_GB2312" w:eastAsia="仿宋_GB2312" w:hAnsi="宋体" w:cs="仿宋_GB2312"/>
          <w:sz w:val="32"/>
          <w:szCs w:val="32"/>
        </w:rPr>
      </w:pPr>
    </w:p>
    <w:p w:rsidR="00562654" w:rsidRPr="00EA2748" w:rsidRDefault="00562654" w:rsidP="00562654">
      <w:pPr>
        <w:spacing w:line="600" w:lineRule="exact"/>
        <w:ind w:firstLineChars="200" w:firstLine="640"/>
        <w:rPr>
          <w:rFonts w:ascii="仿宋_GB2312" w:eastAsia="仿宋_GB2312" w:hAnsi="宋体" w:cs="仿宋_GB2312" w:hint="eastAsia"/>
          <w:sz w:val="32"/>
          <w:szCs w:val="32"/>
        </w:rPr>
      </w:pPr>
      <w:r w:rsidRPr="00EA2748">
        <w:rPr>
          <w:rFonts w:ascii="仿宋_GB2312" w:eastAsia="仿宋_GB2312" w:hAnsi="宋体" w:cs="仿宋_GB2312" w:hint="eastAsia"/>
          <w:sz w:val="32"/>
          <w:szCs w:val="32"/>
        </w:rPr>
        <w:t>附件：</w:t>
      </w:r>
      <w:r w:rsidRPr="00EA2748">
        <w:rPr>
          <w:rFonts w:ascii="仿宋_GB2312" w:eastAsia="仿宋_GB2312" w:hAnsi="宋体" w:cs="仿宋_GB2312"/>
          <w:sz w:val="32"/>
          <w:szCs w:val="32"/>
        </w:rPr>
        <w:t>1</w:t>
      </w:r>
      <w:r>
        <w:rPr>
          <w:rFonts w:ascii="仿宋_GB2312" w:eastAsia="仿宋_GB2312" w:hAnsi="宋体" w:cs="仿宋_GB2312" w:hint="eastAsia"/>
          <w:sz w:val="32"/>
          <w:szCs w:val="32"/>
        </w:rPr>
        <w:t>．</w:t>
      </w:r>
      <w:r w:rsidRPr="00EA2748">
        <w:rPr>
          <w:rFonts w:ascii="仿宋_GB2312" w:eastAsia="仿宋_GB2312" w:hAnsi="宋体" w:cs="仿宋_GB2312"/>
          <w:sz w:val="32"/>
          <w:szCs w:val="32"/>
        </w:rPr>
        <w:t>201</w:t>
      </w:r>
      <w:r w:rsidRPr="00EA2748">
        <w:rPr>
          <w:rFonts w:ascii="仿宋_GB2312" w:eastAsia="仿宋_GB2312" w:hAnsi="宋体" w:cs="仿宋_GB2312" w:hint="eastAsia"/>
          <w:sz w:val="32"/>
          <w:szCs w:val="32"/>
        </w:rPr>
        <w:t>3年青少年高校科学营承办高校营员分配表</w:t>
      </w:r>
    </w:p>
    <w:p w:rsidR="00562654" w:rsidRPr="00EA2748" w:rsidRDefault="00562654" w:rsidP="00562654">
      <w:pPr>
        <w:spacing w:line="600" w:lineRule="exact"/>
        <w:ind w:firstLineChars="511" w:firstLine="1635"/>
        <w:rPr>
          <w:rFonts w:ascii="仿宋_GB2312" w:eastAsia="仿宋_GB2312" w:hAnsi="宋体" w:cs="仿宋_GB2312"/>
          <w:sz w:val="32"/>
          <w:szCs w:val="32"/>
        </w:rPr>
      </w:pPr>
      <w:r w:rsidRPr="00EA2748">
        <w:rPr>
          <w:rFonts w:ascii="仿宋_GB2312" w:eastAsia="仿宋_GB2312" w:hAnsi="宋体" w:cs="仿宋_GB2312"/>
          <w:sz w:val="32"/>
          <w:szCs w:val="32"/>
        </w:rPr>
        <w:t>2</w:t>
      </w:r>
      <w:r>
        <w:rPr>
          <w:rFonts w:ascii="仿宋_GB2312" w:eastAsia="仿宋_GB2312" w:hAnsi="宋体" w:cs="仿宋_GB2312" w:hint="eastAsia"/>
          <w:sz w:val="32"/>
          <w:szCs w:val="32"/>
        </w:rPr>
        <w:t>．</w:t>
      </w:r>
      <w:r w:rsidRPr="00EA2748">
        <w:rPr>
          <w:rFonts w:ascii="仿宋_GB2312" w:eastAsia="仿宋_GB2312" w:hAnsi="宋体" w:cs="仿宋_GB2312"/>
          <w:sz w:val="32"/>
          <w:szCs w:val="32"/>
        </w:rPr>
        <w:t>201</w:t>
      </w:r>
      <w:r w:rsidRPr="00EA2748">
        <w:rPr>
          <w:rFonts w:ascii="仿宋_GB2312" w:eastAsia="仿宋_GB2312" w:hAnsi="宋体" w:cs="仿宋_GB2312" w:hint="eastAsia"/>
          <w:sz w:val="32"/>
          <w:szCs w:val="32"/>
        </w:rPr>
        <w:t>3年青少年高校科学营各地学生营员分配表</w:t>
      </w:r>
    </w:p>
    <w:p w:rsidR="00694801" w:rsidRDefault="00694801"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Default="005C0AA4" w:rsidP="00562654">
      <w:pPr>
        <w:rPr>
          <w:rFonts w:hint="eastAsia"/>
        </w:rPr>
      </w:pPr>
    </w:p>
    <w:p w:rsidR="005C0AA4" w:rsidRPr="00EA2748" w:rsidRDefault="005C0AA4" w:rsidP="005C0AA4">
      <w:pPr>
        <w:widowControl/>
        <w:jc w:val="left"/>
        <w:rPr>
          <w:rFonts w:ascii="黑体" w:eastAsia="黑体" w:hAnsi="仿宋" w:hint="eastAsia"/>
          <w:sz w:val="32"/>
          <w:szCs w:val="32"/>
        </w:rPr>
      </w:pPr>
      <w:r w:rsidRPr="00EA2748">
        <w:rPr>
          <w:rFonts w:ascii="黑体" w:eastAsia="黑体" w:hAnsi="仿宋" w:hint="eastAsia"/>
          <w:sz w:val="32"/>
          <w:szCs w:val="32"/>
        </w:rPr>
        <w:lastRenderedPageBreak/>
        <w:t>附件1</w:t>
      </w:r>
    </w:p>
    <w:p w:rsidR="005C0AA4" w:rsidRDefault="005C0AA4" w:rsidP="005C0AA4">
      <w:pPr>
        <w:widowControl/>
        <w:spacing w:beforeLines="50" w:before="156" w:afterLines="150" w:after="468" w:line="700" w:lineRule="exact"/>
        <w:jc w:val="center"/>
        <w:rPr>
          <w:rFonts w:ascii="仿宋_GB2312" w:eastAsia="仿宋_GB2312"/>
          <w:sz w:val="30"/>
          <w:szCs w:val="30"/>
        </w:rPr>
      </w:pPr>
      <w:r w:rsidRPr="00EA2748">
        <w:rPr>
          <w:rFonts w:ascii="小标宋" w:eastAsia="小标宋" w:hAnsi="宋体" w:cs="宋体" w:hint="eastAsia"/>
          <w:kern w:val="0"/>
          <w:sz w:val="44"/>
          <w:szCs w:val="44"/>
        </w:rPr>
        <w:t>2013年青少年高校科学营承办</w:t>
      </w:r>
      <w:r>
        <w:rPr>
          <w:rFonts w:ascii="小标宋" w:eastAsia="小标宋" w:hAnsi="宋体" w:cs="宋体"/>
          <w:kern w:val="0"/>
          <w:sz w:val="44"/>
          <w:szCs w:val="44"/>
        </w:rPr>
        <w:br/>
      </w:r>
      <w:r w:rsidRPr="00EA2748">
        <w:rPr>
          <w:rFonts w:ascii="小标宋" w:eastAsia="小标宋" w:hAnsi="宋体" w:cs="宋体" w:hint="eastAsia"/>
          <w:kern w:val="0"/>
          <w:sz w:val="44"/>
          <w:szCs w:val="44"/>
        </w:rPr>
        <w:t>高校营员分配表</w:t>
      </w:r>
    </w:p>
    <w:tbl>
      <w:tblPr>
        <w:tblW w:w="9600" w:type="dxa"/>
        <w:jc w:val="center"/>
        <w:tblLayout w:type="fixed"/>
        <w:tblLook w:val="0000" w:firstRow="0" w:lastRow="0" w:firstColumn="0" w:lastColumn="0" w:noHBand="0" w:noVBand="0"/>
      </w:tblPr>
      <w:tblGrid>
        <w:gridCol w:w="800"/>
        <w:gridCol w:w="1000"/>
        <w:gridCol w:w="2380"/>
        <w:gridCol w:w="1060"/>
        <w:gridCol w:w="966"/>
        <w:gridCol w:w="814"/>
        <w:gridCol w:w="860"/>
        <w:gridCol w:w="780"/>
        <w:gridCol w:w="940"/>
      </w:tblGrid>
      <w:tr w:rsidR="005C0AA4" w:rsidRPr="00EA2748" w:rsidTr="00262FBC">
        <w:trPr>
          <w:trHeight w:val="791"/>
          <w:tblHeader/>
          <w:jc w:val="center"/>
        </w:trPr>
        <w:tc>
          <w:tcPr>
            <w:tcW w:w="800" w:type="dxa"/>
            <w:tcBorders>
              <w:top w:val="single" w:sz="8" w:space="0" w:color="auto"/>
              <w:left w:val="single" w:sz="8" w:space="0" w:color="auto"/>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序号</w:t>
            </w:r>
          </w:p>
        </w:tc>
        <w:tc>
          <w:tcPr>
            <w:tcW w:w="1000" w:type="dxa"/>
            <w:tcBorders>
              <w:top w:val="single" w:sz="8" w:space="0" w:color="auto"/>
              <w:left w:val="nil"/>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地区</w:t>
            </w:r>
          </w:p>
        </w:tc>
        <w:tc>
          <w:tcPr>
            <w:tcW w:w="2380" w:type="dxa"/>
            <w:tcBorders>
              <w:top w:val="single" w:sz="8" w:space="0" w:color="auto"/>
              <w:left w:val="nil"/>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接待院校名称</w:t>
            </w:r>
          </w:p>
        </w:tc>
        <w:tc>
          <w:tcPr>
            <w:tcW w:w="1060" w:type="dxa"/>
            <w:tcBorders>
              <w:top w:val="single" w:sz="8" w:space="0" w:color="auto"/>
              <w:left w:val="nil"/>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常规营</w:t>
            </w:r>
          </w:p>
        </w:tc>
        <w:tc>
          <w:tcPr>
            <w:tcW w:w="966" w:type="dxa"/>
            <w:tcBorders>
              <w:top w:val="single" w:sz="8" w:space="0" w:color="auto"/>
              <w:left w:val="nil"/>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专题营</w:t>
            </w:r>
          </w:p>
        </w:tc>
        <w:tc>
          <w:tcPr>
            <w:tcW w:w="814" w:type="dxa"/>
            <w:tcBorders>
              <w:top w:val="single" w:sz="8" w:space="0" w:color="auto"/>
              <w:left w:val="nil"/>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香港</w:t>
            </w:r>
          </w:p>
        </w:tc>
        <w:tc>
          <w:tcPr>
            <w:tcW w:w="860" w:type="dxa"/>
            <w:tcBorders>
              <w:top w:val="single" w:sz="8" w:space="0" w:color="auto"/>
              <w:left w:val="nil"/>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澳门</w:t>
            </w:r>
          </w:p>
        </w:tc>
        <w:tc>
          <w:tcPr>
            <w:tcW w:w="780" w:type="dxa"/>
            <w:tcBorders>
              <w:top w:val="single" w:sz="8" w:space="0" w:color="auto"/>
              <w:left w:val="nil"/>
              <w:bottom w:val="single" w:sz="4" w:space="0" w:color="auto"/>
              <w:right w:val="single" w:sz="4"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台湾</w:t>
            </w:r>
          </w:p>
        </w:tc>
        <w:tc>
          <w:tcPr>
            <w:tcW w:w="940" w:type="dxa"/>
            <w:tcBorders>
              <w:top w:val="single" w:sz="8" w:space="0" w:color="auto"/>
              <w:left w:val="nil"/>
              <w:bottom w:val="single" w:sz="4" w:space="0" w:color="auto"/>
              <w:right w:val="single" w:sz="8" w:space="0" w:color="auto"/>
            </w:tcBorders>
            <w:shd w:val="clear" w:color="000000" w:fill="FFFFFF"/>
            <w:vAlign w:val="center"/>
          </w:tcPr>
          <w:p w:rsidR="005C0AA4" w:rsidRPr="00EA2748" w:rsidRDefault="005C0AA4" w:rsidP="00262FBC">
            <w:pPr>
              <w:widowControl/>
              <w:jc w:val="center"/>
              <w:rPr>
                <w:rFonts w:ascii="黑体" w:eastAsia="黑体" w:hAnsi="宋体" w:cs="宋体" w:hint="eastAsia"/>
                <w:kern w:val="0"/>
                <w:sz w:val="22"/>
                <w:szCs w:val="22"/>
              </w:rPr>
            </w:pPr>
            <w:r w:rsidRPr="00EA2748">
              <w:rPr>
                <w:rFonts w:ascii="黑体" w:eastAsia="黑体" w:hAnsi="宋体" w:cs="宋体" w:hint="eastAsia"/>
                <w:kern w:val="0"/>
                <w:sz w:val="22"/>
                <w:szCs w:val="22"/>
              </w:rPr>
              <w:t>小计</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北京</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北京大学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400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15</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495</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清华大学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400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18</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498</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北京师范大学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100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100</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280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中国农业大学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150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5</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北京理工大学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100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100</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280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6</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北京航空航天大学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100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100</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280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7</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北京科技大学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150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8</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北京交通大学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150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9</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中国科学院大学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280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10</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b/>
                <w:kern w:val="0"/>
                <w:sz w:val="22"/>
                <w:szCs w:val="22"/>
              </w:rPr>
            </w:pPr>
            <w:r>
              <w:rPr>
                <w:rFonts w:ascii="宋体" w:hAnsi="宋体" w:cs="宋体" w:hint="eastAsia"/>
                <w:b/>
                <w:kern w:val="0"/>
                <w:sz w:val="22"/>
                <w:szCs w:val="22"/>
              </w:rPr>
              <w:t>北京化工大学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150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11</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天津</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南开大学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230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12</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天津大学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230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13</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辽宁</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大连理工大学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266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14</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东北大学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15</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b/>
                <w:kern w:val="0"/>
                <w:sz w:val="22"/>
                <w:szCs w:val="22"/>
              </w:rPr>
            </w:pPr>
            <w:r>
              <w:rPr>
                <w:rFonts w:ascii="宋体" w:hAnsi="宋体" w:cs="宋体" w:hint="eastAsia"/>
                <w:b/>
                <w:kern w:val="0"/>
                <w:sz w:val="22"/>
                <w:szCs w:val="22"/>
              </w:rPr>
              <w:t>大连海事大学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100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吉林</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吉林大学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17</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黑龙江</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哈尔滨工业大学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18</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b/>
                <w:kern w:val="0"/>
                <w:sz w:val="22"/>
                <w:szCs w:val="22"/>
              </w:rPr>
            </w:pPr>
            <w:r>
              <w:rPr>
                <w:rFonts w:ascii="宋体" w:hAnsi="宋体" w:cs="宋体" w:hint="eastAsia"/>
                <w:b/>
                <w:kern w:val="0"/>
                <w:sz w:val="22"/>
                <w:szCs w:val="22"/>
              </w:rPr>
              <w:t>哈尔滨工程大学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19</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上海</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复旦大学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266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lastRenderedPageBreak/>
              <w:t>20</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上海交通大学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100</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366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21</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ind w:firstLineChars="50" w:firstLine="110"/>
              <w:jc w:val="left"/>
              <w:rPr>
                <w:rFonts w:ascii="宋体" w:hAnsi="宋体" w:cs="宋体"/>
                <w:kern w:val="0"/>
                <w:sz w:val="22"/>
                <w:szCs w:val="22"/>
              </w:rPr>
            </w:pPr>
            <w:r>
              <w:rPr>
                <w:rFonts w:ascii="宋体" w:hAnsi="宋体" w:cs="宋体" w:hint="eastAsia"/>
                <w:kern w:val="0"/>
                <w:sz w:val="22"/>
                <w:szCs w:val="22"/>
              </w:rPr>
              <w:t>上海</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同济大学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266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22</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华东理工大学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250</w:t>
            </w:r>
          </w:p>
        </w:tc>
      </w:tr>
      <w:tr w:rsidR="005C0AA4" w:rsidTr="00262FBC">
        <w:trPr>
          <w:trHeight w:val="690"/>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23</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华东师范大学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24</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江苏</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南京大学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25</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东南大学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250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26</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b/>
                <w:kern w:val="0"/>
                <w:sz w:val="22"/>
                <w:szCs w:val="22"/>
              </w:rPr>
            </w:pPr>
            <w:r>
              <w:rPr>
                <w:rFonts w:ascii="宋体" w:hAnsi="宋体" w:cs="宋体" w:hint="eastAsia"/>
                <w:b/>
                <w:kern w:val="0"/>
                <w:sz w:val="22"/>
                <w:szCs w:val="22"/>
              </w:rPr>
              <w:t>南京航空航天大学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27</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b/>
                <w:kern w:val="0"/>
                <w:sz w:val="22"/>
                <w:szCs w:val="22"/>
              </w:rPr>
            </w:pPr>
            <w:r>
              <w:rPr>
                <w:rFonts w:ascii="宋体" w:hAnsi="宋体" w:cs="宋体" w:hint="eastAsia"/>
                <w:b/>
                <w:kern w:val="0"/>
                <w:sz w:val="22"/>
                <w:szCs w:val="22"/>
              </w:rPr>
              <w:t>南京理工大学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28</w:t>
            </w:r>
          </w:p>
        </w:tc>
        <w:tc>
          <w:tcPr>
            <w:tcW w:w="100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浙江</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浙江大学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266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29</w:t>
            </w:r>
          </w:p>
        </w:tc>
        <w:tc>
          <w:tcPr>
            <w:tcW w:w="100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安徽</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中国科学技术大学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100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福建</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厦门大学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31</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山东</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山东大学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216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32</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中国海洋大学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33</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湖北</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武汉大学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296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34</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华中科技大学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280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35</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中国地质大学（武汉）</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36</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b/>
                <w:kern w:val="0"/>
                <w:sz w:val="22"/>
                <w:szCs w:val="22"/>
              </w:rPr>
            </w:pPr>
            <w:r>
              <w:rPr>
                <w:rFonts w:ascii="宋体" w:hAnsi="宋体" w:cs="宋体" w:hint="eastAsia"/>
                <w:b/>
                <w:kern w:val="0"/>
                <w:sz w:val="22"/>
                <w:szCs w:val="22"/>
              </w:rPr>
              <w:t>武汉理工大学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37</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湖南</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湖南大学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38</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中南大学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39</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b/>
                <w:kern w:val="0"/>
                <w:sz w:val="22"/>
                <w:szCs w:val="22"/>
              </w:rPr>
            </w:pPr>
            <w:r>
              <w:rPr>
                <w:rFonts w:ascii="宋体" w:hAnsi="宋体" w:cs="宋体" w:hint="eastAsia"/>
                <w:b/>
                <w:kern w:val="0"/>
                <w:sz w:val="22"/>
                <w:szCs w:val="22"/>
              </w:rPr>
              <w:t>国防科技大学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40</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广东</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中山大学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41</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华南理工大学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42</w:t>
            </w:r>
          </w:p>
        </w:tc>
        <w:tc>
          <w:tcPr>
            <w:tcW w:w="100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重庆</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重庆大学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43</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四川</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四川大学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16</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216</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lastRenderedPageBreak/>
              <w:t>44</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电子科技大学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45</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陕西</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西安交通大学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17</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267</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46</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西北工业大学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100</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17</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367</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47</w:t>
            </w:r>
          </w:p>
        </w:tc>
        <w:tc>
          <w:tcPr>
            <w:tcW w:w="1000" w:type="dxa"/>
            <w:vMerge/>
            <w:tcBorders>
              <w:top w:val="nil"/>
              <w:left w:val="single" w:sz="4" w:space="0" w:color="auto"/>
              <w:bottom w:val="single" w:sz="4" w:space="0" w:color="auto"/>
              <w:right w:val="single" w:sz="4" w:space="0" w:color="auto"/>
            </w:tcBorders>
            <w:shd w:val="clear" w:color="auto" w:fill="auto"/>
            <w:vAlign w:val="center"/>
          </w:tcPr>
          <w:p w:rsidR="005C0AA4" w:rsidRDefault="005C0AA4" w:rsidP="00262FBC">
            <w:pPr>
              <w:widowControl/>
              <w:jc w:val="left"/>
              <w:rPr>
                <w:rFonts w:ascii="宋体" w:hAnsi="宋体" w:cs="宋体"/>
                <w:kern w:val="0"/>
                <w:sz w:val="22"/>
                <w:szCs w:val="22"/>
              </w:rPr>
            </w:pP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西安电子科技大学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800" w:type="dxa"/>
            <w:tcBorders>
              <w:top w:val="nil"/>
              <w:left w:val="single" w:sz="8" w:space="0" w:color="auto"/>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4"/>
              </w:rPr>
            </w:pPr>
            <w:r>
              <w:rPr>
                <w:rFonts w:ascii="宋体" w:hAnsi="宋体" w:cs="宋体" w:hint="eastAsia"/>
                <w:kern w:val="0"/>
                <w:sz w:val="24"/>
              </w:rPr>
              <w:t>48</w:t>
            </w:r>
          </w:p>
        </w:tc>
        <w:tc>
          <w:tcPr>
            <w:tcW w:w="100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甘肃</w:t>
            </w:r>
          </w:p>
        </w:tc>
        <w:tc>
          <w:tcPr>
            <w:tcW w:w="238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兰州大学</w:t>
            </w:r>
          </w:p>
        </w:tc>
        <w:tc>
          <w:tcPr>
            <w:tcW w:w="1060" w:type="dxa"/>
            <w:tcBorders>
              <w:top w:val="nil"/>
              <w:left w:val="nil"/>
              <w:bottom w:val="single" w:sz="4"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200</w:t>
            </w:r>
          </w:p>
        </w:tc>
        <w:tc>
          <w:tcPr>
            <w:tcW w:w="966"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14"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86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780" w:type="dxa"/>
            <w:tcBorders>
              <w:top w:val="nil"/>
              <w:left w:val="nil"/>
              <w:bottom w:val="single" w:sz="4"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 xml:space="preserve">　</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200</w:t>
            </w:r>
          </w:p>
        </w:tc>
      </w:tr>
      <w:tr w:rsidR="005C0AA4" w:rsidTr="00262FBC">
        <w:trPr>
          <w:trHeight w:val="522"/>
          <w:jc w:val="center"/>
        </w:trPr>
        <w:tc>
          <w:tcPr>
            <w:tcW w:w="4180" w:type="dxa"/>
            <w:gridSpan w:val="3"/>
            <w:tcBorders>
              <w:top w:val="single" w:sz="4" w:space="0" w:color="auto"/>
              <w:left w:val="single" w:sz="8" w:space="0" w:color="auto"/>
              <w:bottom w:val="single" w:sz="8"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总计</w:t>
            </w:r>
          </w:p>
        </w:tc>
        <w:tc>
          <w:tcPr>
            <w:tcW w:w="1060" w:type="dxa"/>
            <w:tcBorders>
              <w:top w:val="nil"/>
              <w:left w:val="nil"/>
              <w:bottom w:val="single" w:sz="8" w:space="0" w:color="auto"/>
              <w:right w:val="single" w:sz="4" w:space="0" w:color="auto"/>
            </w:tcBorders>
            <w:shd w:val="clear" w:color="000000" w:fill="FFFFFF"/>
            <w:vAlign w:val="center"/>
          </w:tcPr>
          <w:p w:rsidR="005C0AA4" w:rsidRDefault="005C0AA4" w:rsidP="00262FBC">
            <w:pPr>
              <w:widowControl/>
              <w:jc w:val="center"/>
              <w:rPr>
                <w:rFonts w:ascii="宋体" w:hAnsi="宋体" w:cs="宋体"/>
                <w:kern w:val="0"/>
                <w:sz w:val="22"/>
                <w:szCs w:val="22"/>
              </w:rPr>
            </w:pPr>
            <w:r>
              <w:rPr>
                <w:rFonts w:ascii="宋体" w:hAnsi="宋体" w:cs="宋体" w:hint="eastAsia"/>
                <w:kern w:val="0"/>
                <w:sz w:val="22"/>
                <w:szCs w:val="22"/>
              </w:rPr>
              <w:t>9500</w:t>
            </w:r>
          </w:p>
        </w:tc>
        <w:tc>
          <w:tcPr>
            <w:tcW w:w="966" w:type="dxa"/>
            <w:tcBorders>
              <w:top w:val="nil"/>
              <w:left w:val="nil"/>
              <w:bottom w:val="single" w:sz="8"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500</w:t>
            </w:r>
          </w:p>
        </w:tc>
        <w:tc>
          <w:tcPr>
            <w:tcW w:w="814" w:type="dxa"/>
            <w:tcBorders>
              <w:top w:val="nil"/>
              <w:left w:val="nil"/>
              <w:bottom w:val="single" w:sz="8"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1000</w:t>
            </w:r>
          </w:p>
        </w:tc>
        <w:tc>
          <w:tcPr>
            <w:tcW w:w="860" w:type="dxa"/>
            <w:tcBorders>
              <w:top w:val="nil"/>
              <w:left w:val="nil"/>
              <w:bottom w:val="single" w:sz="8"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300</w:t>
            </w:r>
          </w:p>
        </w:tc>
        <w:tc>
          <w:tcPr>
            <w:tcW w:w="780" w:type="dxa"/>
            <w:tcBorders>
              <w:top w:val="nil"/>
              <w:left w:val="nil"/>
              <w:bottom w:val="single" w:sz="8" w:space="0" w:color="auto"/>
              <w:right w:val="single" w:sz="4"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195</w:t>
            </w:r>
          </w:p>
        </w:tc>
        <w:tc>
          <w:tcPr>
            <w:tcW w:w="940" w:type="dxa"/>
            <w:tcBorders>
              <w:top w:val="nil"/>
              <w:left w:val="nil"/>
              <w:bottom w:val="single" w:sz="4" w:space="0" w:color="auto"/>
              <w:right w:val="single" w:sz="8" w:space="0" w:color="auto"/>
            </w:tcBorders>
            <w:shd w:val="clear" w:color="000000" w:fill="FFFFFF"/>
            <w:vAlign w:val="bottom"/>
          </w:tcPr>
          <w:p w:rsidR="005C0AA4" w:rsidRDefault="005C0AA4" w:rsidP="00262FBC">
            <w:pPr>
              <w:widowControl/>
              <w:jc w:val="center"/>
              <w:rPr>
                <w:rFonts w:ascii="宋体" w:hAnsi="宋体" w:cs="宋体"/>
                <w:kern w:val="0"/>
                <w:sz w:val="24"/>
              </w:rPr>
            </w:pPr>
            <w:r>
              <w:rPr>
                <w:rFonts w:ascii="宋体" w:hAnsi="宋体" w:cs="宋体" w:hint="eastAsia"/>
                <w:kern w:val="0"/>
                <w:sz w:val="24"/>
              </w:rPr>
              <w:t>11495</w:t>
            </w:r>
          </w:p>
        </w:tc>
      </w:tr>
    </w:tbl>
    <w:p w:rsidR="005C0AA4" w:rsidRDefault="005C0AA4" w:rsidP="005C0AA4">
      <w:pPr>
        <w:spacing w:line="480" w:lineRule="exact"/>
        <w:ind w:right="2041"/>
        <w:jc w:val="right"/>
        <w:rPr>
          <w:rFonts w:ascii="仿宋_GB2312" w:eastAsia="仿宋_GB2312" w:hAnsi="宋体" w:cs="仿宋_GB2312" w:hint="eastAsia"/>
          <w:sz w:val="28"/>
          <w:szCs w:val="28"/>
        </w:rPr>
      </w:pPr>
      <w:r>
        <w:rPr>
          <w:rFonts w:ascii="仿宋_GB2312" w:eastAsia="仿宋_GB2312" w:hAnsi="宋体" w:cs="仿宋_GB2312" w:hint="eastAsia"/>
          <w:sz w:val="28"/>
          <w:szCs w:val="28"/>
        </w:rPr>
        <w:t>（注：黑体字为2013年新增单位）</w:t>
      </w:r>
    </w:p>
    <w:p w:rsidR="005C0AA4" w:rsidRDefault="005C0AA4" w:rsidP="005C0AA4">
      <w:pPr>
        <w:spacing w:line="360" w:lineRule="auto"/>
        <w:ind w:leftChars="200" w:left="420"/>
        <w:rPr>
          <w:rFonts w:ascii="仿宋_GB2312" w:eastAsia="仿宋_GB2312" w:hAnsi="Calibri"/>
          <w:sz w:val="30"/>
          <w:szCs w:val="30"/>
        </w:rPr>
      </w:pPr>
    </w:p>
    <w:p w:rsidR="005C0AA4" w:rsidRPr="00EA2748" w:rsidRDefault="005C0AA4" w:rsidP="005C0AA4">
      <w:pPr>
        <w:rPr>
          <w:rFonts w:ascii="黑体" w:eastAsia="黑体" w:hAnsi="仿宋" w:cs="小标宋" w:hint="eastAsia"/>
          <w:sz w:val="32"/>
          <w:szCs w:val="32"/>
        </w:rPr>
      </w:pPr>
      <w:r>
        <w:rPr>
          <w:rFonts w:ascii="仿宋_GB2312" w:eastAsia="仿宋_GB2312" w:hAnsi="仿宋" w:cs="小标宋"/>
          <w:sz w:val="30"/>
          <w:szCs w:val="30"/>
        </w:rPr>
        <w:br w:type="page"/>
      </w:r>
      <w:r w:rsidRPr="00EA2748">
        <w:rPr>
          <w:rFonts w:ascii="黑体" w:eastAsia="黑体" w:hAnsi="仿宋" w:cs="小标宋" w:hint="eastAsia"/>
          <w:sz w:val="32"/>
          <w:szCs w:val="32"/>
        </w:rPr>
        <w:lastRenderedPageBreak/>
        <w:t>附件2</w:t>
      </w:r>
    </w:p>
    <w:p w:rsidR="005C0AA4" w:rsidRPr="00EA2748" w:rsidRDefault="005C0AA4" w:rsidP="005C0AA4">
      <w:pPr>
        <w:spacing w:beforeLines="50" w:before="156" w:afterLines="150" w:after="468" w:line="700" w:lineRule="exact"/>
        <w:jc w:val="center"/>
        <w:rPr>
          <w:rFonts w:ascii="仿宋_GB2312" w:eastAsia="仿宋_GB2312" w:hAnsi="仿宋" w:cs="小标宋" w:hint="eastAsia"/>
          <w:sz w:val="44"/>
          <w:szCs w:val="44"/>
        </w:rPr>
      </w:pPr>
      <w:r w:rsidRPr="00EA2748">
        <w:rPr>
          <w:rFonts w:ascii="小标宋" w:eastAsia="小标宋" w:hAnsi="宋体" w:cs="宋体"/>
          <w:kern w:val="0"/>
          <w:sz w:val="44"/>
          <w:szCs w:val="44"/>
        </w:rPr>
        <w:t>201</w:t>
      </w:r>
      <w:r w:rsidRPr="00EA2748">
        <w:rPr>
          <w:rFonts w:ascii="小标宋" w:eastAsia="小标宋" w:hAnsi="宋体" w:cs="宋体" w:hint="eastAsia"/>
          <w:kern w:val="0"/>
          <w:sz w:val="44"/>
          <w:szCs w:val="44"/>
        </w:rPr>
        <w:t>3年青少年高校科学营</w:t>
      </w:r>
      <w:r>
        <w:rPr>
          <w:rFonts w:ascii="小标宋" w:eastAsia="小标宋" w:hAnsi="宋体" w:cs="宋体"/>
          <w:kern w:val="0"/>
          <w:sz w:val="44"/>
          <w:szCs w:val="44"/>
        </w:rPr>
        <w:br/>
      </w:r>
      <w:r w:rsidRPr="00EA2748">
        <w:rPr>
          <w:rFonts w:ascii="小标宋" w:eastAsia="小标宋" w:hAnsi="宋体" w:cs="宋体" w:hint="eastAsia"/>
          <w:kern w:val="0"/>
          <w:sz w:val="44"/>
          <w:szCs w:val="44"/>
        </w:rPr>
        <w:t>各地学生营员分配表</w:t>
      </w:r>
    </w:p>
    <w:p w:rsidR="005C0AA4" w:rsidRDefault="005C0AA4" w:rsidP="005C0AA4">
      <w:pPr>
        <w:spacing w:line="600" w:lineRule="exact"/>
        <w:ind w:leftChars="257" w:left="540" w:firstLineChars="14" w:firstLine="39"/>
        <w:jc w:val="center"/>
        <w:rPr>
          <w:rFonts w:ascii="仿宋_GB2312" w:eastAsia="仿宋_GB2312" w:hAnsi="宋体" w:cs="仿宋_GB2312" w:hint="eastAsia"/>
          <w:sz w:val="28"/>
          <w:szCs w:val="28"/>
        </w:rPr>
      </w:pPr>
      <w:r>
        <w:rPr>
          <w:rFonts w:ascii="仿宋_GB2312" w:eastAsia="仿宋_GB2312" w:hAnsi="宋体" w:cs="仿宋_GB2312" w:hint="eastAsia"/>
          <w:sz w:val="28"/>
          <w:szCs w:val="28"/>
        </w:rPr>
        <w:t>（按各地承办高校数量排序）</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495"/>
        <w:gridCol w:w="851"/>
        <w:gridCol w:w="3118"/>
        <w:gridCol w:w="816"/>
        <w:gridCol w:w="3437"/>
      </w:tblGrid>
      <w:tr w:rsidR="005C0AA4" w:rsidTr="00262FBC">
        <w:trPr>
          <w:trHeight w:val="555"/>
          <w:tblHeader/>
        </w:trPr>
        <w:tc>
          <w:tcPr>
            <w:tcW w:w="1107" w:type="dxa"/>
            <w:vMerge w:val="restart"/>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地区</w:t>
            </w:r>
          </w:p>
        </w:tc>
        <w:tc>
          <w:tcPr>
            <w:tcW w:w="495" w:type="dxa"/>
            <w:vMerge w:val="restart"/>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高校数量</w:t>
            </w:r>
          </w:p>
        </w:tc>
        <w:tc>
          <w:tcPr>
            <w:tcW w:w="3969" w:type="dxa"/>
            <w:gridSpan w:val="2"/>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招募学生名额（单位：人）</w:t>
            </w:r>
          </w:p>
        </w:tc>
        <w:tc>
          <w:tcPr>
            <w:tcW w:w="4253" w:type="dxa"/>
            <w:gridSpan w:val="2"/>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接收学生名额（单位：人）</w:t>
            </w:r>
          </w:p>
        </w:tc>
      </w:tr>
      <w:tr w:rsidR="005C0AA4" w:rsidTr="00262FBC">
        <w:trPr>
          <w:trHeight w:val="555"/>
          <w:tblHeader/>
        </w:trPr>
        <w:tc>
          <w:tcPr>
            <w:tcW w:w="1107" w:type="dxa"/>
            <w:vMerge/>
            <w:shd w:val="clear" w:color="auto" w:fill="FFFFFF"/>
            <w:vAlign w:val="center"/>
          </w:tcPr>
          <w:p w:rsidR="005C0AA4" w:rsidRDefault="005C0AA4" w:rsidP="00262FBC">
            <w:pPr>
              <w:widowControl/>
              <w:jc w:val="left"/>
              <w:rPr>
                <w:rFonts w:ascii="黑体" w:eastAsia="黑体" w:hAnsi="宋体" w:cs="宋体" w:hint="eastAsia"/>
                <w:bCs/>
                <w:color w:val="000000"/>
                <w:kern w:val="0"/>
                <w:szCs w:val="21"/>
              </w:rPr>
            </w:pPr>
          </w:p>
        </w:tc>
        <w:tc>
          <w:tcPr>
            <w:tcW w:w="495" w:type="dxa"/>
            <w:vMerge/>
            <w:shd w:val="clear" w:color="auto" w:fill="FFFFFF"/>
            <w:vAlign w:val="center"/>
          </w:tcPr>
          <w:p w:rsidR="005C0AA4" w:rsidRDefault="005C0AA4" w:rsidP="00262FBC">
            <w:pPr>
              <w:widowControl/>
              <w:jc w:val="left"/>
              <w:rPr>
                <w:rFonts w:ascii="黑体" w:eastAsia="黑体" w:hAnsi="宋体" w:cs="宋体" w:hint="eastAsia"/>
                <w:bCs/>
                <w:color w:val="000000"/>
                <w:kern w:val="0"/>
                <w:szCs w:val="21"/>
              </w:rPr>
            </w:pPr>
          </w:p>
        </w:tc>
        <w:tc>
          <w:tcPr>
            <w:tcW w:w="851" w:type="dxa"/>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招募</w:t>
            </w:r>
          </w:p>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数量</w:t>
            </w:r>
          </w:p>
        </w:tc>
        <w:tc>
          <w:tcPr>
            <w:tcW w:w="3118" w:type="dxa"/>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招募学生派往地</w:t>
            </w:r>
          </w:p>
        </w:tc>
        <w:tc>
          <w:tcPr>
            <w:tcW w:w="816" w:type="dxa"/>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接收数量</w:t>
            </w:r>
          </w:p>
        </w:tc>
        <w:tc>
          <w:tcPr>
            <w:tcW w:w="3437" w:type="dxa"/>
            <w:shd w:val="clear" w:color="auto" w:fill="FFFFFF"/>
            <w:vAlign w:val="center"/>
          </w:tcPr>
          <w:p w:rsidR="005C0AA4" w:rsidRDefault="005C0AA4" w:rsidP="00262FBC">
            <w:pPr>
              <w:widowControl/>
              <w:jc w:val="center"/>
              <w:rPr>
                <w:rFonts w:ascii="黑体" w:eastAsia="黑体" w:hAnsi="宋体" w:cs="宋体" w:hint="eastAsia"/>
                <w:bCs/>
                <w:color w:val="000000"/>
                <w:kern w:val="0"/>
                <w:szCs w:val="21"/>
              </w:rPr>
            </w:pPr>
            <w:r>
              <w:rPr>
                <w:rFonts w:ascii="黑体" w:eastAsia="黑体" w:hAnsi="宋体" w:cs="宋体" w:hint="eastAsia"/>
                <w:bCs/>
                <w:color w:val="000000"/>
                <w:kern w:val="0"/>
                <w:szCs w:val="21"/>
              </w:rPr>
              <w:t>接受学生来源地</w:t>
            </w:r>
          </w:p>
        </w:tc>
      </w:tr>
      <w:tr w:rsidR="005C0AA4" w:rsidTr="00262FBC">
        <w:trPr>
          <w:trHeight w:val="931"/>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340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本地340（含航天营20）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2713</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本地340，其余2370（各省市60，香港300、澳门180、台湾33）</w:t>
            </w:r>
          </w:p>
        </w:tc>
      </w:tr>
      <w:tr w:rsidR="005C0AA4" w:rsidTr="00262FBC">
        <w:trPr>
          <w:trHeight w:val="165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上海</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5</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本地300（含船舶营20），北京60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1398</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本地300，其余1095（山东、四川、河南、广西、江西、云南、贵州、浙江、重庆、福建、新疆自治区、海南、宁夏、安徽、西藏、新疆兵团各50，香港250、台湾48）</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湖北</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本地400，北京60（含航天营10）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976</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本地400，江西、河南、安徽、湖南、香港各100，澳门60、台湾16</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江苏</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本地400，北京60（含天文营20）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900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本地400，河北、安徽、江西、山西、香港各100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陕西</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本地400（含航空营40），北京60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834</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本地400，河北、内蒙古、河南、香港各100，台湾34</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湖南</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本地300，北京60（含航天营10），湖北100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600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本地300，云南、广西、贵州各100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辽宁</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本地300，北京60（含航天营10）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716</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本地300，内蒙古、河南、河北、香港各100，台湾16</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山东</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本地200，北京60，上海50（含船舶营20）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416</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本地200、山西、河南各100、台湾16</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天津</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本地200，北京60（含兵器营20）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460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本地200，山西、宁夏各100，澳门60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黑龙江</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本地300，北京60（含兵器营10）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本地300，内蒙古100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四川</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本地300，北京60（含天文营20），上海50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416</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本地300，云南100，台湾16</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lastRenderedPageBreak/>
              <w:t>广东</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本地300，北京60（含天文营20）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本地300，广西100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浙江</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本地200，北京60，上海50（含船舶营20）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266</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本地200，香港50，台湾16</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吉林</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本地200，北京60（含兵器营20）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 xml:space="preserve">安徽 </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本地150，北京60（含兵器营10），上海50，湖北、江苏各100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本地150，青海50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福建</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本地200，北京60，上海50（含船舶营20）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重庆</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本地200，北京60（含兵器营20）、上海50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w:t>
            </w:r>
          </w:p>
        </w:tc>
      </w:tr>
      <w:tr w:rsidR="005C0AA4" w:rsidTr="00262FBC">
        <w:trPr>
          <w:trHeight w:val="615"/>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甘肃</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本地200，北京60（含兵器营10）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200</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本地200</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河南</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510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北京60，上海50，山东、湖北、陕西（含航空营20）、辽宁各100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山西</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北京60（含航天营10），天津、山东、江苏各100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内蒙古</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北京60，辽宁、陕西（含航空营20）、黑龙江各100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河北</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360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北京60，陕西（含航空营20）、辽宁、江苏各100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广西</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北京60（含航天营10），上海50，广东、湖南各100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江西</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北京60（含航天营10），上海50，湖北、江苏各100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云南</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北京60（含天文营10），上海50，四川、湖南各100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贵州</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北京60（含天文营10），上海50，湖南100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宁夏</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210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北京60（含天文营10），上海50、天津100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hint="eastAsia"/>
                <w:color w:val="000000"/>
                <w:kern w:val="0"/>
                <w:sz w:val="24"/>
              </w:rPr>
            </w:pPr>
            <w:r>
              <w:rPr>
                <w:rFonts w:ascii="宋体" w:hAnsi="宋体" w:cs="宋体" w:hint="eastAsia"/>
                <w:color w:val="000000"/>
                <w:kern w:val="0"/>
                <w:sz w:val="24"/>
              </w:rPr>
              <w:t>新疆</w:t>
            </w:r>
          </w:p>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自治区</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北京60（含航天营10），上海50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海南</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北京60，上海50（含船舶营20）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lastRenderedPageBreak/>
              <w:t>青海</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北京60（含兵器营10），安徽50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西藏</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北京60（含航天营10），上海50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hint="eastAsia"/>
                <w:color w:val="000000"/>
                <w:kern w:val="0"/>
                <w:sz w:val="24"/>
              </w:rPr>
            </w:pPr>
            <w:r>
              <w:rPr>
                <w:rFonts w:ascii="宋体" w:hAnsi="宋体" w:cs="宋体" w:hint="eastAsia"/>
                <w:color w:val="000000"/>
                <w:kern w:val="0"/>
                <w:sz w:val="24"/>
              </w:rPr>
              <w:t>新疆</w:t>
            </w:r>
          </w:p>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兵团</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110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北京60（含天文营10），上海50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香港</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1000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北京300，上海250，江苏、湖北、陕西、辽宁各100，浙江50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hint="eastAsia"/>
                <w:color w:val="000000"/>
                <w:kern w:val="0"/>
                <w:sz w:val="24"/>
              </w:rPr>
            </w:pP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澳门</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300</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北京180，天津60，湖北60</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hint="eastAsia"/>
                <w:color w:val="000000"/>
                <w:kern w:val="0"/>
                <w:sz w:val="24"/>
              </w:rPr>
            </w:pPr>
          </w:p>
        </w:tc>
      </w:tr>
      <w:tr w:rsidR="005C0AA4" w:rsidTr="00262FBC">
        <w:trPr>
          <w:trHeight w:val="630"/>
        </w:trPr>
        <w:tc>
          <w:tcPr>
            <w:tcW w:w="110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台湾</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195</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北京33、上海48，陕西34，山东、浙江、四川、辽宁、湖北各16</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0</w:t>
            </w:r>
          </w:p>
        </w:tc>
        <w:tc>
          <w:tcPr>
            <w:tcW w:w="3437" w:type="dxa"/>
            <w:vAlign w:val="center"/>
          </w:tcPr>
          <w:p w:rsidR="005C0AA4" w:rsidRDefault="005C0AA4" w:rsidP="00262FBC">
            <w:pPr>
              <w:widowControl/>
              <w:jc w:val="center"/>
              <w:rPr>
                <w:rFonts w:ascii="宋体" w:hAnsi="宋体" w:cs="宋体" w:hint="eastAsia"/>
                <w:color w:val="000000"/>
                <w:kern w:val="0"/>
                <w:sz w:val="24"/>
              </w:rPr>
            </w:pPr>
          </w:p>
        </w:tc>
      </w:tr>
      <w:tr w:rsidR="005C0AA4" w:rsidTr="00262FBC">
        <w:trPr>
          <w:trHeight w:val="555"/>
        </w:trPr>
        <w:tc>
          <w:tcPr>
            <w:tcW w:w="1107" w:type="dxa"/>
            <w:vAlign w:val="center"/>
          </w:tcPr>
          <w:p w:rsidR="005C0AA4" w:rsidRDefault="005C0AA4" w:rsidP="00262FBC">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495"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48</w:t>
            </w:r>
          </w:p>
        </w:tc>
        <w:tc>
          <w:tcPr>
            <w:tcW w:w="851"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11495</w:t>
            </w:r>
          </w:p>
        </w:tc>
        <w:tc>
          <w:tcPr>
            <w:tcW w:w="3118"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 xml:space="preserve">　</w:t>
            </w:r>
          </w:p>
        </w:tc>
        <w:tc>
          <w:tcPr>
            <w:tcW w:w="816"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11495</w:t>
            </w:r>
          </w:p>
        </w:tc>
        <w:tc>
          <w:tcPr>
            <w:tcW w:w="3437" w:type="dxa"/>
            <w:vAlign w:val="center"/>
          </w:tcPr>
          <w:p w:rsidR="005C0AA4" w:rsidRDefault="005C0AA4" w:rsidP="00262FBC">
            <w:pPr>
              <w:jc w:val="center"/>
              <w:rPr>
                <w:rFonts w:ascii="宋体" w:hAnsi="宋体" w:cs="宋体"/>
                <w:color w:val="000000"/>
                <w:kern w:val="0"/>
                <w:sz w:val="24"/>
              </w:rPr>
            </w:pPr>
            <w:r>
              <w:rPr>
                <w:rFonts w:ascii="宋体" w:hAnsi="宋体" w:cs="宋体" w:hint="eastAsia"/>
                <w:color w:val="000000"/>
                <w:kern w:val="0"/>
                <w:sz w:val="24"/>
              </w:rPr>
              <w:t xml:space="preserve">　</w:t>
            </w:r>
          </w:p>
        </w:tc>
      </w:tr>
    </w:tbl>
    <w:p w:rsidR="005C0AA4" w:rsidRDefault="005C0AA4" w:rsidP="005C0AA4">
      <w:pPr>
        <w:spacing w:line="600" w:lineRule="exact"/>
        <w:ind w:leftChars="257" w:left="540" w:firstLineChars="14" w:firstLine="39"/>
        <w:jc w:val="center"/>
        <w:rPr>
          <w:rFonts w:ascii="仿宋_GB2312" w:eastAsia="仿宋_GB2312" w:hAnsi="宋体" w:cs="仿宋_GB2312" w:hint="eastAsia"/>
          <w:sz w:val="28"/>
          <w:szCs w:val="28"/>
        </w:rPr>
      </w:pPr>
    </w:p>
    <w:p w:rsidR="005C0AA4" w:rsidRDefault="005C0AA4" w:rsidP="005C0AA4">
      <w:pPr>
        <w:rPr>
          <w:vanish/>
        </w:rPr>
      </w:pPr>
    </w:p>
    <w:p w:rsidR="005C0AA4" w:rsidRDefault="005C0AA4" w:rsidP="005C0AA4">
      <w:pPr>
        <w:overflowPunct w:val="0"/>
        <w:autoSpaceDE w:val="0"/>
        <w:autoSpaceDN w:val="0"/>
        <w:adjustRightInd w:val="0"/>
        <w:spacing w:beforeLines="50" w:before="156" w:line="20" w:lineRule="exact"/>
        <w:textAlignment w:val="bottom"/>
        <w:rPr>
          <w:rFonts w:hint="eastAsia"/>
        </w:rPr>
      </w:pPr>
    </w:p>
    <w:p w:rsidR="005C0AA4" w:rsidRDefault="005C0AA4" w:rsidP="005C0AA4">
      <w:pPr>
        <w:overflowPunct w:val="0"/>
        <w:autoSpaceDE w:val="0"/>
        <w:autoSpaceDN w:val="0"/>
        <w:adjustRightInd w:val="0"/>
        <w:spacing w:beforeLines="50" w:before="156" w:line="20" w:lineRule="exact"/>
        <w:textAlignment w:val="bottom"/>
      </w:pPr>
    </w:p>
    <w:p w:rsidR="005C0AA4" w:rsidRDefault="005C0AA4" w:rsidP="005C0AA4">
      <w:pPr>
        <w:spacing w:line="600" w:lineRule="exact"/>
        <w:ind w:leftChars="257" w:left="540" w:firstLineChars="14" w:firstLine="39"/>
        <w:jc w:val="center"/>
        <w:rPr>
          <w:rFonts w:ascii="仿宋_GB2312" w:eastAsia="仿宋_GB2312" w:hAnsi="宋体" w:cs="仿宋_GB2312" w:hint="eastAsia"/>
          <w:sz w:val="28"/>
          <w:szCs w:val="28"/>
        </w:rPr>
      </w:pPr>
    </w:p>
    <w:p w:rsidR="005C0AA4" w:rsidRDefault="005C0AA4" w:rsidP="00562654">
      <w:bookmarkStart w:id="0" w:name="_GoBack"/>
      <w:bookmarkEnd w:id="0"/>
    </w:p>
    <w:sectPr w:rsidR="005C0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2B" w:rsidRDefault="008A702B" w:rsidP="00562654">
      <w:r>
        <w:separator/>
      </w:r>
    </w:p>
  </w:endnote>
  <w:endnote w:type="continuationSeparator" w:id="0">
    <w:p w:rsidR="008A702B" w:rsidRDefault="008A702B" w:rsidP="0056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2B" w:rsidRDefault="008A702B" w:rsidP="00562654">
      <w:r>
        <w:separator/>
      </w:r>
    </w:p>
  </w:footnote>
  <w:footnote w:type="continuationSeparator" w:id="0">
    <w:p w:rsidR="008A702B" w:rsidRDefault="008A702B" w:rsidP="0056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A6"/>
    <w:rsid w:val="00562654"/>
    <w:rsid w:val="005C0AA4"/>
    <w:rsid w:val="00694801"/>
    <w:rsid w:val="00701EA6"/>
    <w:rsid w:val="008A06C7"/>
    <w:rsid w:val="008A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6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2654"/>
    <w:rPr>
      <w:sz w:val="18"/>
      <w:szCs w:val="18"/>
    </w:rPr>
  </w:style>
  <w:style w:type="paragraph" w:styleId="a4">
    <w:name w:val="footer"/>
    <w:basedOn w:val="a"/>
    <w:link w:val="Char0"/>
    <w:uiPriority w:val="99"/>
    <w:unhideWhenUsed/>
    <w:rsid w:val="005626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26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6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26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2654"/>
    <w:rPr>
      <w:sz w:val="18"/>
      <w:szCs w:val="18"/>
    </w:rPr>
  </w:style>
  <w:style w:type="paragraph" w:styleId="a4">
    <w:name w:val="footer"/>
    <w:basedOn w:val="a"/>
    <w:link w:val="Char0"/>
    <w:uiPriority w:val="99"/>
    <w:unhideWhenUsed/>
    <w:rsid w:val="005626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26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liuying</dc:creator>
  <cp:keywords/>
  <dc:description/>
  <cp:lastModifiedBy>liuying</cp:lastModifiedBy>
  <cp:revision>3</cp:revision>
  <dcterms:created xsi:type="dcterms:W3CDTF">2013-05-30T01:52:00Z</dcterms:created>
  <dcterms:modified xsi:type="dcterms:W3CDTF">2013-05-30T02:20:00Z</dcterms:modified>
</cp:coreProperties>
</file>