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A9" w:rsidRDefault="003B04A9" w:rsidP="003B04A9">
      <w:pPr>
        <w:widowControl w:val="0"/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3B04A9" w:rsidRDefault="003B04A9" w:rsidP="003B04A9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 w:hint="eastAsia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两项竞赛中获得二等奖的</w:t>
      </w:r>
      <w:r>
        <w:rPr>
          <w:rFonts w:ascii="小标宋" w:eastAsia="小标宋"/>
          <w:bCs/>
          <w:sz w:val="44"/>
          <w:szCs w:val="44"/>
        </w:rPr>
        <w:br/>
      </w:r>
      <w:r>
        <w:rPr>
          <w:rFonts w:ascii="小标宋" w:eastAsia="小标宋" w:hint="eastAsia"/>
          <w:bCs/>
          <w:sz w:val="44"/>
          <w:szCs w:val="44"/>
        </w:rPr>
        <w:t>有关省份推荐项目说明</w:t>
      </w:r>
    </w:p>
    <w:p w:rsidR="003B04A9" w:rsidRDefault="003B04A9" w:rsidP="003B04A9">
      <w:pPr>
        <w:widowControl w:val="0"/>
        <w:snapToGrid w:val="0"/>
        <w:spacing w:line="580" w:lineRule="exact"/>
        <w:ind w:rightChars="400" w:right="840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陕西</w:t>
      </w:r>
      <w:r>
        <w:rPr>
          <w:rFonts w:ascii="仿宋_GB2312" w:eastAsia="仿宋_GB2312"/>
          <w:bCs/>
          <w:sz w:val="32"/>
          <w:szCs w:val="32"/>
        </w:rPr>
        <w:t>、山东、广西、河北、贵州、河南、湖北、吉林、黑龙江、天津、内蒙古、江西、辽宁、</w:t>
      </w:r>
      <w:r>
        <w:rPr>
          <w:rFonts w:ascii="仿宋_GB2312" w:eastAsia="仿宋_GB2312" w:hint="eastAsia"/>
          <w:bCs/>
          <w:sz w:val="32"/>
          <w:szCs w:val="32"/>
        </w:rPr>
        <w:t>山西</w:t>
      </w:r>
      <w:r>
        <w:rPr>
          <w:rFonts w:ascii="仿宋_GB2312" w:eastAsia="仿宋_GB2312"/>
          <w:bCs/>
          <w:sz w:val="32"/>
          <w:szCs w:val="32"/>
        </w:rPr>
        <w:t>、云南、海南及西藏等省份</w:t>
      </w:r>
      <w:r>
        <w:rPr>
          <w:rFonts w:ascii="仿宋_GB2312" w:eastAsia="仿宋_GB2312" w:hint="eastAsia"/>
          <w:bCs/>
          <w:sz w:val="32"/>
          <w:szCs w:val="32"/>
        </w:rPr>
        <w:t>可各</w:t>
      </w:r>
      <w:r>
        <w:rPr>
          <w:rFonts w:ascii="仿宋_GB2312" w:eastAsia="仿宋_GB2312"/>
          <w:bCs/>
          <w:sz w:val="32"/>
          <w:szCs w:val="32"/>
        </w:rPr>
        <w:t>推荐</w:t>
      </w:r>
      <w:r>
        <w:rPr>
          <w:rFonts w:ascii="仿宋_GB2312" w:eastAsia="仿宋_GB2312" w:hint="eastAsia"/>
          <w:bCs/>
          <w:sz w:val="32"/>
          <w:szCs w:val="32"/>
        </w:rPr>
        <w:t>1项</w:t>
      </w:r>
      <w:r>
        <w:rPr>
          <w:rFonts w:ascii="仿宋_GB2312" w:eastAsia="仿宋_GB2312"/>
          <w:bCs/>
          <w:sz w:val="32"/>
          <w:szCs w:val="32"/>
        </w:rPr>
        <w:t>在第</w:t>
      </w:r>
      <w:r>
        <w:rPr>
          <w:rFonts w:ascii="仿宋_GB2312" w:eastAsia="仿宋_GB2312" w:hint="eastAsia"/>
          <w:bCs/>
          <w:sz w:val="32"/>
          <w:szCs w:val="32"/>
        </w:rPr>
        <w:t>34届</w:t>
      </w:r>
      <w:r>
        <w:rPr>
          <w:rFonts w:ascii="仿宋_GB2312" w:eastAsia="仿宋_GB2312"/>
          <w:bCs/>
          <w:sz w:val="32"/>
          <w:szCs w:val="32"/>
        </w:rPr>
        <w:t>全国青少年科技创新大赛中获得二等奖的项目。</w:t>
      </w:r>
    </w:p>
    <w:p w:rsidR="003B04A9" w:rsidRDefault="003B04A9" w:rsidP="003B04A9">
      <w:pPr>
        <w:widowControl w:val="0"/>
        <w:snapToGrid w:val="0"/>
        <w:spacing w:line="580" w:lineRule="exact"/>
        <w:ind w:rightChars="400" w:right="840"/>
        <w:rPr>
          <w:rFonts w:ascii="仿宋_GB2312" w:eastAsia="仿宋_GB2312"/>
          <w:bCs/>
          <w:sz w:val="32"/>
          <w:szCs w:val="32"/>
        </w:rPr>
      </w:pPr>
    </w:p>
    <w:p w:rsidR="003B04A9" w:rsidRDefault="003B04A9" w:rsidP="003B04A9">
      <w:pPr>
        <w:widowControl w:val="0"/>
        <w:snapToGrid w:val="0"/>
        <w:spacing w:line="580" w:lineRule="exact"/>
        <w:ind w:rightChars="400" w:right="840"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浙江</w:t>
      </w:r>
      <w:r>
        <w:rPr>
          <w:rFonts w:ascii="仿宋_GB2312" w:eastAsia="仿宋_GB2312"/>
          <w:bCs/>
          <w:sz w:val="32"/>
          <w:szCs w:val="32"/>
        </w:rPr>
        <w:t>、河南、四川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安徽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山东及天津</w:t>
      </w:r>
      <w:r>
        <w:rPr>
          <w:rFonts w:ascii="仿宋_GB2312" w:eastAsia="仿宋_GB2312" w:hint="eastAsia"/>
          <w:bCs/>
          <w:sz w:val="32"/>
          <w:szCs w:val="32"/>
        </w:rPr>
        <w:t>等省份可各推荐1项在第19届“明天小小科学家”奖励活动中获得二等奖的项目。</w:t>
      </w:r>
    </w:p>
    <w:p w:rsidR="00FD4AA8" w:rsidRPr="003B04A9" w:rsidRDefault="00FD4AA8">
      <w:bookmarkStart w:id="0" w:name="_GoBack"/>
      <w:bookmarkEnd w:id="0"/>
    </w:p>
    <w:sectPr w:rsidR="00FD4AA8" w:rsidRPr="003B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A9"/>
    <w:rsid w:val="003B04A9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4CCB-247A-43A2-9CFE-76D93110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A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2019-11-14T03:31:00Z</dcterms:created>
  <dcterms:modified xsi:type="dcterms:W3CDTF">2019-11-14T03:31:00Z</dcterms:modified>
</cp:coreProperties>
</file>