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RIC创新挑战赛日程及规则补充说明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一、RIC创新挑战赛赛程安排表：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待补充。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182"/>
        <w:gridCol w:w="1630"/>
        <w:gridCol w:w="1048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04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二、关于RIC创新挑战赛的规则补充说明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1、基本任务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出发：以机器不超出白色外边框为准。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ragraph">
                  <wp:posOffset>-1565275</wp:posOffset>
                </wp:positionV>
                <wp:extent cx="1025525" cy="355600"/>
                <wp:effectExtent l="0" t="4445" r="3175" b="2095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81120" y="2957195"/>
                          <a:ext cx="1025525" cy="35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6pt;margin-top:-123.25pt;height:28pt;width:80.75pt;z-index:251661312;mso-width-relative:page;mso-height-relative:page;" filled="f" stroked="t" coordsize="21600,21600" o:gfxdata="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D7NvN0AAAANAQAADwAAAAAAAAABACAAAAAiAAAAZHJzL2Rvd25yZXYueG1s&#10;UEsBAhQAFAAAAAgAh07iQHeOZSksAgAACwQAAA4AAAAAAAAAAQAgAAAALAEAAGRycy9lMm9Eb2Mu&#10;eG1sUEsFBgAAAAAGAAYAWQEAAMoFAAAAAA==&#10;">
                <v:fill on="f" focussize="0,0"/>
                <v:stroke weight="0.5pt" color="#FF0000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1356360</wp:posOffset>
            </wp:positionH>
            <wp:positionV relativeFrom="paragraph">
              <wp:posOffset>85090</wp:posOffset>
            </wp:positionV>
            <wp:extent cx="2276475" cy="2047875"/>
            <wp:effectExtent l="0" t="0" r="9525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抵达终点：机器的地面投影不超出终点区的两条白色的外边框，同时投影也不可以超出积木外框。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1421765</wp:posOffset>
            </wp:positionH>
            <wp:positionV relativeFrom="paragraph">
              <wp:posOffset>209550</wp:posOffset>
            </wp:positionV>
            <wp:extent cx="2219325" cy="1800225"/>
            <wp:effectExtent l="0" t="0" r="3175" b="317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2、备选任务</w:t>
      </w:r>
    </w:p>
    <w:p>
      <w:pPr>
        <w:numPr>
          <w:ilvl w:val="0"/>
          <w:numId w:val="2"/>
        </w:numPr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1617345</wp:posOffset>
            </wp:positionH>
            <wp:positionV relativeFrom="paragraph">
              <wp:posOffset>1236345</wp:posOffset>
            </wp:positionV>
            <wp:extent cx="1581150" cy="1145540"/>
            <wp:effectExtent l="0" t="0" r="6350" b="10160"/>
            <wp:wrapTopAndBottom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无人超市购物：随机选择器掉落可能成45°角，机器摄像头可能识别正面两个图像其中之一，只要不识别反面两个图像即视为正确。</w:t>
      </w:r>
    </w:p>
    <w:p>
      <w:pPr>
        <w:numPr>
          <w:ilvl w:val="0"/>
          <w:numId w:val="2"/>
        </w:numPr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目标追踪：匹配器可能转动成一个斜面，以45°为准。人站立在任务对面，视人像多的那一面为准。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59690</wp:posOffset>
            </wp:positionV>
            <wp:extent cx="2299970" cy="1519555"/>
            <wp:effectExtent l="0" t="0" r="11430" b="4445"/>
            <wp:wrapTopAndBottom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3、关于任务脱线运行：</w:t>
      </w:r>
    </w:p>
    <w:p>
      <w:pPr>
        <w:numPr>
          <w:ilvl w:val="0"/>
          <w:numId w:val="0"/>
        </w:numPr>
        <w:ind w:left="0" w:leftChars="0" w:firstLine="215" w:firstLineChars="77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（1）机器人应按白色引导线进行巡线，并有巡线动作，机器人是否巡线有争议时，由当值裁判进行判断是否脱线运行。</w:t>
      </w:r>
    </w:p>
    <w:p>
      <w:pPr>
        <w:numPr>
          <w:ilvl w:val="0"/>
          <w:numId w:val="0"/>
        </w:numPr>
        <w:tabs>
          <w:tab w:val="left" w:pos="220"/>
          <w:tab w:val="left" w:pos="420"/>
        </w:tabs>
        <w:ind w:left="216" w:leftChars="103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（2）机器人的主体结构投影全部脱离引导线，或沿着引导线相反的方向（包括180度掉头）行走时，就被认为任务脱线运行。</w:t>
      </w:r>
    </w:p>
    <w:p>
      <w:pPr>
        <w:numPr>
          <w:ilvl w:val="0"/>
          <w:numId w:val="0"/>
        </w:numPr>
        <w:tabs>
          <w:tab w:val="left" w:pos="210"/>
        </w:tabs>
        <w:ind w:left="230" w:leftChars="0" w:firstLine="218" w:firstLineChars="78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（3）为完成任务可以短暂脱离，执行任务后要回到原来的主干道继续执行。</w:t>
      </w:r>
    </w:p>
    <w:p>
      <w:pPr>
        <w:numPr>
          <w:ilvl w:val="0"/>
          <w:numId w:val="0"/>
        </w:numPr>
        <w:tabs>
          <w:tab w:val="left" w:pos="7518"/>
        </w:tabs>
        <w:ind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4、关于重试：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ab/>
      </w:r>
    </w:p>
    <w:p>
      <w:pPr>
        <w:numPr>
          <w:ilvl w:val="0"/>
          <w:numId w:val="0"/>
        </w:numPr>
        <w:ind w:firstLine="280" w:firstLineChars="1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任务脱线运行，严格执行重试；学生触碰机器，严格执行重试。比赛时间继续，所有任务得分清零，道具恢复初始状态。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5、关于创新奖励分：</w:t>
      </w:r>
    </w:p>
    <w:p>
      <w:pPr>
        <w:numPr>
          <w:ilvl w:val="0"/>
          <w:numId w:val="0"/>
        </w:numPr>
        <w:ind w:firstLine="280" w:firstLineChars="1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传感器数量为控制器的外接传感器总量，除常规的光电、超声波及视觉模块等，外接的显示屏及音频模块均属传感器，应计入传感器总量。允许使用循迹卡，只算一个传感器。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6、关于地图以及附加任务</w:t>
      </w:r>
    </w:p>
    <w:p>
      <w:pPr>
        <w:numPr>
          <w:ilvl w:val="0"/>
          <w:numId w:val="0"/>
        </w:numPr>
        <w:ind w:left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地图为新地图，比赛前公布，附加任务比赛前现场公布。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184C2"/>
    <w:multiLevelType w:val="singleLevel"/>
    <w:tmpl w:val="0A7184C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BB0375D"/>
    <w:multiLevelType w:val="singleLevel"/>
    <w:tmpl w:val="1BB0375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70B25"/>
    <w:rsid w:val="20BE4275"/>
    <w:rsid w:val="21AE0020"/>
    <w:rsid w:val="33E62C45"/>
    <w:rsid w:val="387621E8"/>
    <w:rsid w:val="4E4B2430"/>
    <w:rsid w:val="54A57E14"/>
    <w:rsid w:val="54E26AFA"/>
    <w:rsid w:val="5FC15282"/>
    <w:rsid w:val="691F0CEB"/>
    <w:rsid w:val="6D574088"/>
    <w:rsid w:val="7C73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2021-05-17T03:10:00Z</dcterms:created>
  <dc:creator>hokia</dc:creator>
  <cp:lastModifiedBy>Huawei</cp:lastModifiedBy>
  <dcterms:modified xsi:type="dcterms:W3CDTF">2021-05-19T01:56:40Z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010201EB222849FFAA65DD1AC29E7EE1</vt:lpwstr>
  </property>
</Properties>
</file>