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ind w:left="1222" w:leftChars="119" w:hanging="972" w:hangingChars="300"/>
        <w:jc w:val="both"/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color w:val="auto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2</w:t>
      </w:r>
    </w:p>
    <w:p>
      <w:pPr>
        <w:spacing w:line="243" w:lineRule="auto"/>
        <w:ind w:left="1252" w:leftChars="119" w:hanging="1002" w:hangingChars="300"/>
        <w:jc w:val="center"/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lang w:val="en-US" w:eastAsia="zh-CN"/>
        </w:rPr>
        <w:t>RIC普及联赛项目</w:t>
      </w: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</w:rPr>
        <w:t>名额分配表</w:t>
      </w:r>
    </w:p>
    <w:bookmarkEnd w:id="0"/>
    <w:p>
      <w:pPr>
        <w:spacing w:line="243" w:lineRule="auto"/>
        <w:ind w:left="952" w:leftChars="119" w:hanging="702" w:hangingChars="300"/>
        <w:rPr>
          <w:rFonts w:hint="eastAsia" w:ascii="仿宋" w:hAnsi="仿宋" w:eastAsia="仿宋" w:cs="仿宋"/>
          <w:color w:val="auto"/>
          <w:spacing w:val="-8"/>
          <w:sz w:val="25"/>
          <w:szCs w:val="25"/>
          <w:lang w:val="en-US" w:eastAsia="zh-CN"/>
        </w:rPr>
      </w:pPr>
    </w:p>
    <w:tbl>
      <w:tblPr>
        <w:tblStyle w:val="3"/>
        <w:tblW w:w="0" w:type="auto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96"/>
        <w:gridCol w:w="496"/>
        <w:gridCol w:w="496"/>
        <w:gridCol w:w="496"/>
        <w:gridCol w:w="496"/>
        <w:gridCol w:w="496"/>
        <w:gridCol w:w="496"/>
        <w:gridCol w:w="494"/>
        <w:gridCol w:w="494"/>
        <w:gridCol w:w="496"/>
        <w:gridCol w:w="496"/>
        <w:gridCol w:w="496"/>
        <w:gridCol w:w="496"/>
        <w:gridCol w:w="535"/>
        <w:gridCol w:w="496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组别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省直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沈阳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大连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鞍山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抚顺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本溪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丹东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锦州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营口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阜新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辽阳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铁岭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盘锦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葫芦岛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朝阳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52" w:type="dxa"/>
            <w:noWrap w:val="0"/>
            <w:vAlign w:val="top"/>
          </w:tcPr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小学</w:t>
            </w:r>
          </w:p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队数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初中</w:t>
            </w:r>
          </w:p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队数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高中</w:t>
            </w:r>
          </w:p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队数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spacing w:val="-8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243" w:lineRule="auto"/>
              <w:jc w:val="center"/>
              <w:rPr>
                <w:rFonts w:hint="default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5"/>
                <w:szCs w:val="25"/>
                <w:vertAlign w:val="baseline"/>
                <w:lang w:val="en-US" w:eastAsia="zh-CN"/>
              </w:rPr>
              <w:t>合计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</w:tr>
    </w:tbl>
    <w:p>
      <w:pPr>
        <w:spacing w:line="243" w:lineRule="auto"/>
        <w:rPr>
          <w:rFonts w:hint="eastAsia" w:ascii="仿宋" w:hAnsi="仿宋" w:eastAsia="仿宋" w:cs="仿宋"/>
          <w:color w:val="auto"/>
          <w:spacing w:val="-8"/>
          <w:sz w:val="25"/>
          <w:szCs w:val="25"/>
          <w:lang w:val="en-US" w:eastAsia="zh-CN"/>
        </w:rPr>
      </w:pPr>
    </w:p>
    <w:p>
      <w:pPr>
        <w:spacing w:line="243" w:lineRule="auto"/>
        <w:rPr>
          <w:rFonts w:hint="eastAsia" w:ascii="仿宋" w:hAnsi="仿宋" w:eastAsia="仿宋" w:cs="仿宋"/>
          <w:color w:val="auto"/>
          <w:spacing w:val="-8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8"/>
          <w:sz w:val="25"/>
          <w:szCs w:val="25"/>
          <w:lang w:val="en-US" w:eastAsia="zh-CN"/>
        </w:rPr>
        <w:t>备注：RIC为联赛，此表为获得省级成绩的队伍最高数量。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1B0C6FCE"/>
    <w:rsid w:val="1B0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2024-03-20T02:55:00Z</dcterms:created>
  <dc:creator>喜塔腊雪巍</dc:creator>
  <cp:lastModifiedBy>喜塔腊雪巍</cp:lastModifiedBy>
  <dcterms:modified xsi:type="dcterms:W3CDTF">2024-03-20T02:55:45Z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D481EC0A03344E0AA5811A0CBAB30061_11</vt:lpwstr>
  </property>
</Properties>
</file>